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6" w:rsidRDefault="00A646B6" w:rsidP="001D46E0">
      <w:pPr>
        <w:jc w:val="center"/>
        <w:rPr>
          <w:b/>
          <w:sz w:val="20"/>
        </w:rPr>
      </w:pPr>
    </w:p>
    <w:p w:rsidR="00A646B6" w:rsidRDefault="00A646B6" w:rsidP="001D46E0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5.25pt;width:63.9pt;height:81.15pt;z-index:251658240">
            <v:imagedata r:id="rId5" o:title=""/>
          </v:shape>
        </w:pict>
      </w:r>
      <w:r>
        <w:rPr>
          <w:b/>
          <w:sz w:val="20"/>
        </w:rPr>
        <w:t xml:space="preserve">                                                                                                                  </w:t>
      </w:r>
    </w:p>
    <w:p w:rsidR="00A646B6" w:rsidRPr="008D47D8" w:rsidRDefault="00A646B6" w:rsidP="001D46E0">
      <w:pPr>
        <w:jc w:val="center"/>
        <w:rPr>
          <w:b/>
          <w:sz w:val="32"/>
          <w:szCs w:val="32"/>
        </w:rPr>
      </w:pPr>
    </w:p>
    <w:p w:rsidR="00A646B6" w:rsidRPr="008D47D8" w:rsidRDefault="00A646B6" w:rsidP="001D46E0">
      <w:pPr>
        <w:jc w:val="center"/>
        <w:rPr>
          <w:b/>
          <w:sz w:val="32"/>
          <w:szCs w:val="32"/>
        </w:rPr>
      </w:pPr>
    </w:p>
    <w:p w:rsidR="00A646B6" w:rsidRDefault="00A646B6" w:rsidP="001D4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</w:t>
      </w:r>
      <w:r w:rsidRPr="00D93F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округа</w:t>
      </w:r>
    </w:p>
    <w:p w:rsidR="00A646B6" w:rsidRPr="00E4006C" w:rsidRDefault="00A646B6" w:rsidP="001D46E0">
      <w:pPr>
        <w:jc w:val="center"/>
        <w:rPr>
          <w:b/>
          <w:szCs w:val="28"/>
        </w:rPr>
      </w:pPr>
      <w:r w:rsidRPr="009A5740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О С Т А Н О В Л Е Н И Е</w:t>
      </w:r>
    </w:p>
    <w:p w:rsidR="00A646B6" w:rsidRDefault="00A646B6" w:rsidP="001D46E0">
      <w:r>
        <w:rPr>
          <w:noProof/>
        </w:rPr>
        <w:pict>
          <v:line id="_x0000_s1027" style="position:absolute;z-index:251657216" from="-9pt,1.4pt" to="459pt,1.4pt" o:allowincell="f" strokecolor="gray" strokeweight="4.5pt">
            <v:stroke linestyle="thickThin"/>
          </v:line>
        </w:pict>
      </w:r>
    </w:p>
    <w:p w:rsidR="00A646B6" w:rsidRPr="001D46E0" w:rsidRDefault="00A646B6" w:rsidP="001D46E0">
      <w:pPr>
        <w:rPr>
          <w:szCs w:val="28"/>
        </w:rPr>
      </w:pPr>
      <w:r w:rsidRPr="002D19F3">
        <w:rPr>
          <w:szCs w:val="28"/>
        </w:rPr>
        <w:t xml:space="preserve">от  </w:t>
      </w:r>
      <w:r w:rsidRPr="001D46E0">
        <w:rPr>
          <w:szCs w:val="28"/>
        </w:rPr>
        <w:t>03.10.2011 г</w:t>
      </w:r>
      <w:r w:rsidRPr="002D19F3">
        <w:rPr>
          <w:szCs w:val="28"/>
        </w:rPr>
        <w:t xml:space="preserve">.     </w:t>
      </w:r>
      <w:r w:rsidRPr="001D46E0">
        <w:rPr>
          <w:szCs w:val="28"/>
        </w:rPr>
        <w:t xml:space="preserve">№  </w:t>
      </w:r>
      <w:r w:rsidRPr="00E3666C">
        <w:rPr>
          <w:szCs w:val="28"/>
        </w:rPr>
        <w:t>2597</w:t>
      </w:r>
      <w:r w:rsidRPr="001D46E0">
        <w:rPr>
          <w:szCs w:val="28"/>
        </w:rPr>
        <w:t>-п</w:t>
      </w:r>
    </w:p>
    <w:p w:rsidR="00A646B6" w:rsidRDefault="00A646B6" w:rsidP="001D46E0">
      <w:pPr>
        <w:rPr>
          <w:szCs w:val="28"/>
        </w:rPr>
      </w:pPr>
      <w:r w:rsidRPr="002D19F3">
        <w:rPr>
          <w:szCs w:val="28"/>
        </w:rPr>
        <w:t>г.</w:t>
      </w:r>
      <w:r w:rsidRPr="005764F8">
        <w:rPr>
          <w:szCs w:val="28"/>
        </w:rPr>
        <w:t xml:space="preserve"> </w:t>
      </w:r>
      <w:r w:rsidRPr="002D19F3">
        <w:rPr>
          <w:szCs w:val="28"/>
        </w:rPr>
        <w:t>Невьянск</w:t>
      </w:r>
    </w:p>
    <w:p w:rsidR="00A646B6" w:rsidRDefault="00A646B6" w:rsidP="007F65DA">
      <w:pPr>
        <w:pStyle w:val="ConsPlusTitle"/>
        <w:widowControl/>
        <w:jc w:val="center"/>
        <w:rPr>
          <w:sz w:val="28"/>
          <w:szCs w:val="28"/>
        </w:rPr>
      </w:pPr>
    </w:p>
    <w:p w:rsidR="00A646B6" w:rsidRDefault="00A646B6" w:rsidP="007F65DA">
      <w:pPr>
        <w:pStyle w:val="ConsPlusTitle"/>
        <w:widowControl/>
        <w:jc w:val="center"/>
        <w:rPr>
          <w:sz w:val="28"/>
          <w:szCs w:val="28"/>
        </w:rPr>
      </w:pPr>
    </w:p>
    <w:p w:rsidR="00A646B6" w:rsidRDefault="00A646B6" w:rsidP="007F65DA">
      <w:pPr>
        <w:pStyle w:val="ConsPlusTitle"/>
        <w:widowControl/>
        <w:jc w:val="center"/>
        <w:rPr>
          <w:sz w:val="28"/>
          <w:szCs w:val="28"/>
        </w:rPr>
      </w:pPr>
    </w:p>
    <w:p w:rsidR="00A646B6" w:rsidRDefault="00A646B6" w:rsidP="007F65DA">
      <w:pPr>
        <w:pStyle w:val="ConsPlusTitle"/>
        <w:widowControl/>
        <w:jc w:val="center"/>
        <w:rPr>
          <w:sz w:val="28"/>
          <w:szCs w:val="28"/>
        </w:rPr>
      </w:pPr>
    </w:p>
    <w:p w:rsidR="00A646B6" w:rsidRPr="005D0229" w:rsidRDefault="00A646B6" w:rsidP="007F65DA">
      <w:pPr>
        <w:pStyle w:val="ConsPlusTitle"/>
        <w:widowControl/>
        <w:jc w:val="center"/>
        <w:rPr>
          <w:sz w:val="28"/>
          <w:szCs w:val="28"/>
        </w:rPr>
      </w:pPr>
      <w:r w:rsidRPr="005D022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C5203">
        <w:rPr>
          <w:sz w:val="28"/>
          <w:szCs w:val="28"/>
        </w:rPr>
        <w:t xml:space="preserve">муниципальной целевой программы </w:t>
      </w:r>
      <w:r>
        <w:rPr>
          <w:sz w:val="28"/>
          <w:szCs w:val="28"/>
        </w:rPr>
        <w:t xml:space="preserve">«Развитие малых форм хозяйствования – крестьянских (фермерских) хозяйств </w:t>
      </w:r>
      <w:r w:rsidRPr="005D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Невьянского городского округа </w:t>
      </w:r>
      <w:r w:rsidRPr="005D0229">
        <w:rPr>
          <w:sz w:val="28"/>
          <w:szCs w:val="28"/>
        </w:rPr>
        <w:t xml:space="preserve">в 2011 </w:t>
      </w:r>
      <w:r>
        <w:rPr>
          <w:sz w:val="28"/>
          <w:szCs w:val="28"/>
        </w:rPr>
        <w:t xml:space="preserve">– 2013 </w:t>
      </w:r>
      <w:r w:rsidRPr="005D0229">
        <w:rPr>
          <w:sz w:val="28"/>
          <w:szCs w:val="28"/>
        </w:rPr>
        <w:t>год</w:t>
      </w:r>
      <w:r>
        <w:rPr>
          <w:sz w:val="28"/>
          <w:szCs w:val="28"/>
        </w:rPr>
        <w:t>ах»</w:t>
      </w:r>
    </w:p>
    <w:p w:rsidR="00A646B6" w:rsidRDefault="00A646B6" w:rsidP="00311768">
      <w:pPr>
        <w:ind w:firstLine="1080"/>
        <w:rPr>
          <w:sz w:val="28"/>
          <w:szCs w:val="28"/>
        </w:rPr>
      </w:pPr>
    </w:p>
    <w:p w:rsidR="00A646B6" w:rsidRDefault="00A646B6" w:rsidP="005D0229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646B6" w:rsidRDefault="00A646B6" w:rsidP="007F65D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предприятий малого бизнеса в сельском хозяйстве Невьянского городского округа, в соответствии постановлением Правительства Свердловской области от 29.01.2008 N 51-ПП (ред. от 25.10.2010) "О государственной программе "Развитие агропромышленного комплекса Свердловской области" на 2008 - 2012 годы"</w:t>
      </w:r>
    </w:p>
    <w:p w:rsidR="00A646B6" w:rsidRDefault="00A646B6" w:rsidP="007F65D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646B6" w:rsidRPr="007F65DA" w:rsidRDefault="00A646B6" w:rsidP="007F65DA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7F65DA">
        <w:rPr>
          <w:b/>
          <w:sz w:val="28"/>
          <w:szCs w:val="28"/>
        </w:rPr>
        <w:t>ПОСТАНОВЛЯЮ:</w:t>
      </w:r>
    </w:p>
    <w:p w:rsidR="00A646B6" w:rsidRDefault="00A646B6" w:rsidP="007F65D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646B6" w:rsidRDefault="00A646B6" w:rsidP="003C5203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«Развитие малых форм хозяйствования - крестьянских (фермерских) хозяйств Невьянского городского округа в 2011 – 2013 годах» (прилагается).</w:t>
      </w:r>
    </w:p>
    <w:p w:rsidR="00A646B6" w:rsidRPr="00FF52DA" w:rsidRDefault="00A646B6" w:rsidP="00944AED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«Звезда».</w:t>
      </w:r>
    </w:p>
    <w:p w:rsidR="00A646B6" w:rsidRDefault="00A646B6" w:rsidP="00944AED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Балашова А.М.</w:t>
      </w:r>
    </w:p>
    <w:p w:rsidR="00A646B6" w:rsidRDefault="00A646B6" w:rsidP="00311768">
      <w:pPr>
        <w:ind w:firstLine="1080"/>
        <w:rPr>
          <w:sz w:val="28"/>
          <w:szCs w:val="28"/>
        </w:rPr>
      </w:pPr>
    </w:p>
    <w:p w:rsidR="00A646B6" w:rsidRDefault="00A646B6" w:rsidP="00311768">
      <w:pPr>
        <w:ind w:firstLine="1080"/>
        <w:rPr>
          <w:sz w:val="28"/>
          <w:szCs w:val="28"/>
        </w:rPr>
      </w:pPr>
    </w:p>
    <w:p w:rsidR="00A646B6" w:rsidRDefault="00A646B6" w:rsidP="00311768">
      <w:pPr>
        <w:ind w:firstLine="1080"/>
        <w:rPr>
          <w:sz w:val="28"/>
          <w:szCs w:val="28"/>
        </w:rPr>
      </w:pPr>
    </w:p>
    <w:p w:rsidR="00A646B6" w:rsidRDefault="00A646B6" w:rsidP="00311768">
      <w:pPr>
        <w:ind w:firstLine="1080"/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  <w:r>
        <w:rPr>
          <w:sz w:val="28"/>
          <w:szCs w:val="28"/>
        </w:rPr>
        <w:t>И.о. главы городского округа                                                              С.Б. Казанцева</w:t>
      </w: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Default="00A646B6" w:rsidP="00944AED">
      <w:pPr>
        <w:pStyle w:val="Heading3"/>
        <w:jc w:val="center"/>
        <w:rPr>
          <w:b w:val="0"/>
          <w:szCs w:val="28"/>
        </w:rPr>
      </w:pPr>
    </w:p>
    <w:p w:rsidR="00A646B6" w:rsidRDefault="00A646B6" w:rsidP="00944AED">
      <w:pPr>
        <w:pStyle w:val="Heading3"/>
        <w:jc w:val="center"/>
        <w:rPr>
          <w:b w:val="0"/>
          <w:szCs w:val="28"/>
        </w:rPr>
      </w:pPr>
    </w:p>
    <w:p w:rsidR="00A646B6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926250" w:rsidRDefault="00A646B6" w:rsidP="004C0825">
      <w:pPr>
        <w:jc w:val="center"/>
        <w:outlineLvl w:val="0"/>
      </w:pPr>
      <w:r w:rsidRPr="00926250">
        <w:t>Муниципальная целевая программа</w:t>
      </w:r>
    </w:p>
    <w:p w:rsidR="00A646B6" w:rsidRPr="00926250" w:rsidRDefault="00A646B6" w:rsidP="004C0825">
      <w:pPr>
        <w:jc w:val="center"/>
      </w:pPr>
      <w:r w:rsidRPr="00926250">
        <w:t xml:space="preserve"> «</w:t>
      </w:r>
      <w:r>
        <w:t>Р</w:t>
      </w:r>
      <w:r w:rsidRPr="00926250">
        <w:t>азвити</w:t>
      </w:r>
      <w:r>
        <w:t>е</w:t>
      </w:r>
      <w:r w:rsidRPr="00926250">
        <w:t xml:space="preserve"> малых форм хозяйствования – крестьянских (фермерских) хозяйств в Невьянском городском округе на 2011 – 2013 годы»  </w:t>
      </w:r>
    </w:p>
    <w:p w:rsidR="00A646B6" w:rsidRPr="00926250" w:rsidRDefault="00A646B6" w:rsidP="004C0825">
      <w:pPr>
        <w:jc w:val="center"/>
      </w:pPr>
    </w:p>
    <w:p w:rsidR="00A646B6" w:rsidRPr="00926250" w:rsidRDefault="00A646B6" w:rsidP="004C0825">
      <w:pPr>
        <w:jc w:val="center"/>
      </w:pPr>
      <w:r w:rsidRPr="00926250">
        <w:t>ПАСПОРТ</w:t>
      </w:r>
    </w:p>
    <w:p w:rsidR="00A646B6" w:rsidRPr="00926250" w:rsidRDefault="00A646B6" w:rsidP="004C0825">
      <w:pPr>
        <w:jc w:val="center"/>
        <w:outlineLvl w:val="0"/>
      </w:pPr>
      <w:r>
        <w:t>м</w:t>
      </w:r>
      <w:r w:rsidRPr="00926250">
        <w:t>униципальн</w:t>
      </w:r>
      <w:r>
        <w:t>ой</w:t>
      </w:r>
      <w:r w:rsidRPr="00926250">
        <w:t xml:space="preserve"> целев</w:t>
      </w:r>
      <w:r>
        <w:t>ой</w:t>
      </w:r>
      <w:r w:rsidRPr="00926250">
        <w:t xml:space="preserve"> </w:t>
      </w:r>
      <w:r>
        <w:t>программы</w:t>
      </w:r>
    </w:p>
    <w:p w:rsidR="00A646B6" w:rsidRDefault="00A646B6" w:rsidP="004C0825">
      <w:pPr>
        <w:ind w:firstLine="709"/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65"/>
      </w:tblGrid>
      <w:tr w:rsidR="00A646B6" w:rsidTr="002C6A92">
        <w:tc>
          <w:tcPr>
            <w:tcW w:w="2835" w:type="dxa"/>
          </w:tcPr>
          <w:p w:rsidR="00A646B6" w:rsidRDefault="00A646B6" w:rsidP="002C6A92">
            <w:pPr>
              <w:jc w:val="both"/>
            </w:pPr>
            <w:r>
              <w:t>Наименование программы</w:t>
            </w:r>
          </w:p>
        </w:tc>
        <w:tc>
          <w:tcPr>
            <w:tcW w:w="7065" w:type="dxa"/>
          </w:tcPr>
          <w:p w:rsidR="00A646B6" w:rsidRPr="00926250" w:rsidRDefault="00A646B6" w:rsidP="002C6A92">
            <w:pPr>
              <w:outlineLvl w:val="0"/>
            </w:pPr>
            <w:r w:rsidRPr="00926250">
              <w:t>Муниципальная целевая программа</w:t>
            </w:r>
            <w:r>
              <w:t xml:space="preserve"> </w:t>
            </w:r>
            <w:r w:rsidRPr="00926250">
              <w:t xml:space="preserve"> «</w:t>
            </w:r>
            <w:r>
              <w:t>Р</w:t>
            </w:r>
            <w:r w:rsidRPr="00926250">
              <w:t>азвити</w:t>
            </w:r>
            <w:r>
              <w:t>е</w:t>
            </w:r>
            <w:r w:rsidRPr="00926250">
              <w:t xml:space="preserve"> малых форм хозяйствования – крестьянских (фермерских) хозяйств в Невьянском городском округе на 2011 – 2013 годы»  </w:t>
            </w:r>
          </w:p>
          <w:p w:rsidR="00A646B6" w:rsidRDefault="00A646B6" w:rsidP="002C6A92">
            <w:pPr>
              <w:jc w:val="both"/>
            </w:pPr>
          </w:p>
        </w:tc>
      </w:tr>
      <w:tr w:rsidR="00A646B6" w:rsidTr="002C6A92">
        <w:trPr>
          <w:trHeight w:val="357"/>
        </w:trPr>
        <w:tc>
          <w:tcPr>
            <w:tcW w:w="2835" w:type="dxa"/>
          </w:tcPr>
          <w:p w:rsidR="00A646B6" w:rsidRDefault="00A646B6" w:rsidP="002C6A92">
            <w:pPr>
              <w:jc w:val="both"/>
            </w:pPr>
            <w:r>
              <w:t>Заказчик программы</w:t>
            </w:r>
          </w:p>
        </w:tc>
        <w:tc>
          <w:tcPr>
            <w:tcW w:w="7065" w:type="dxa"/>
          </w:tcPr>
          <w:p w:rsidR="00A646B6" w:rsidRDefault="00A646B6" w:rsidP="002C6A92">
            <w:r>
              <w:t>Администрация Невьянского городского округа</w:t>
            </w:r>
          </w:p>
        </w:tc>
      </w:tr>
      <w:tr w:rsidR="00A646B6" w:rsidTr="002C6A92">
        <w:trPr>
          <w:trHeight w:val="896"/>
        </w:trPr>
        <w:tc>
          <w:tcPr>
            <w:tcW w:w="2835" w:type="dxa"/>
          </w:tcPr>
          <w:p w:rsidR="00A646B6" w:rsidRPr="00C97ED9" w:rsidRDefault="00A646B6" w:rsidP="002C6A92">
            <w:pPr>
              <w:pStyle w:val="formattext"/>
            </w:pPr>
            <w:r w:rsidRPr="00C97ED9">
              <w:t xml:space="preserve">Основание для разработки </w:t>
            </w:r>
            <w:r>
              <w:rPr>
                <w:lang w:val="en-US"/>
              </w:rPr>
              <w:t>п</w:t>
            </w:r>
            <w:r w:rsidRPr="00C97ED9">
              <w:t>рограммы</w:t>
            </w:r>
          </w:p>
        </w:tc>
        <w:tc>
          <w:tcPr>
            <w:tcW w:w="7065" w:type="dxa"/>
          </w:tcPr>
          <w:p w:rsidR="00A646B6" w:rsidRPr="00C97ED9" w:rsidRDefault="00A646B6" w:rsidP="002C6A92">
            <w:pPr>
              <w:pStyle w:val="formattext"/>
            </w:pPr>
            <w:r w:rsidRPr="00C97ED9">
              <w:t>Постановление Правительства Свердловской области от 29.01.2008г. № 51-ПП (в редакции от 25.10.2010г.) «О государственной программе «Развитие агропромышленного комплекса Свердловской области» на 2008-2012 годы</w:t>
            </w:r>
          </w:p>
        </w:tc>
      </w:tr>
      <w:tr w:rsidR="00A646B6" w:rsidTr="002C6A92">
        <w:tc>
          <w:tcPr>
            <w:tcW w:w="2835" w:type="dxa"/>
          </w:tcPr>
          <w:p w:rsidR="00A646B6" w:rsidRDefault="00A646B6" w:rsidP="002C6A92">
            <w:pPr>
              <w:jc w:val="both"/>
            </w:pPr>
            <w:r>
              <w:t>Исполнитель программы</w:t>
            </w:r>
          </w:p>
        </w:tc>
        <w:tc>
          <w:tcPr>
            <w:tcW w:w="7065" w:type="dxa"/>
          </w:tcPr>
          <w:p w:rsidR="00A646B6" w:rsidRDefault="00A646B6" w:rsidP="002C6A92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A646B6" w:rsidTr="002C6A92">
        <w:trPr>
          <w:trHeight w:val="567"/>
        </w:trPr>
        <w:tc>
          <w:tcPr>
            <w:tcW w:w="2835" w:type="dxa"/>
          </w:tcPr>
          <w:p w:rsidR="00A646B6" w:rsidRDefault="00A646B6" w:rsidP="002C6A92">
            <w:pPr>
              <w:jc w:val="both"/>
            </w:pPr>
            <w:r>
              <w:t>Основные целевые индикаторы</w:t>
            </w:r>
          </w:p>
        </w:tc>
        <w:tc>
          <w:tcPr>
            <w:tcW w:w="7065" w:type="dxa"/>
          </w:tcPr>
          <w:p w:rsidR="00A646B6" w:rsidRDefault="00A646B6" w:rsidP="002C6A92">
            <w:pPr>
              <w:jc w:val="both"/>
            </w:pPr>
            <w:r>
              <w:t xml:space="preserve">- увеличение количества зарегистрированных и действующих </w:t>
            </w:r>
            <w:r w:rsidRPr="00BA00A6">
              <w:t xml:space="preserve">крестьянских (фермерских) хозяйств (далее </w:t>
            </w:r>
            <w:r>
              <w:t>–</w:t>
            </w:r>
            <w:r w:rsidRPr="00BA00A6">
              <w:t xml:space="preserve"> </w:t>
            </w:r>
            <w:r>
              <w:t>КФХ) в сельской местности;</w:t>
            </w:r>
          </w:p>
          <w:p w:rsidR="00A646B6" w:rsidRDefault="00A646B6" w:rsidP="002C6A92">
            <w:pPr>
              <w:jc w:val="both"/>
            </w:pPr>
            <w:r>
              <w:t>-увеличение численности работающих в КФХ;</w:t>
            </w:r>
          </w:p>
          <w:p w:rsidR="00A646B6" w:rsidRDefault="00A646B6" w:rsidP="002C6A92">
            <w:pPr>
              <w:jc w:val="both"/>
            </w:pPr>
            <w:r>
              <w:t>-увеличение количества поголовья скота в сельской местности;</w:t>
            </w:r>
          </w:p>
          <w:p w:rsidR="00A646B6" w:rsidRDefault="00A646B6" w:rsidP="002C6A92">
            <w:pPr>
              <w:jc w:val="both"/>
            </w:pPr>
            <w:r>
              <w:t>-увеличение количества вовлеченных в оборот земель сельскохозяйственного назначения в сельской местности;</w:t>
            </w:r>
          </w:p>
          <w:p w:rsidR="00A646B6" w:rsidRDefault="00A646B6" w:rsidP="002C6A92">
            <w:pPr>
              <w:jc w:val="both"/>
            </w:pPr>
            <w:r>
              <w:t>-рост объема реализации продукции, произведенной КФХ;</w:t>
            </w:r>
          </w:p>
          <w:p w:rsidR="00A646B6" w:rsidRDefault="00A646B6" w:rsidP="002C6A92">
            <w:pPr>
              <w:jc w:val="both"/>
            </w:pPr>
            <w:r>
              <w:t>-увеличение объема инвестиций в основной капитал малых предприятий.</w:t>
            </w:r>
          </w:p>
        </w:tc>
      </w:tr>
      <w:tr w:rsidR="00A646B6" w:rsidTr="002C6A92">
        <w:tc>
          <w:tcPr>
            <w:tcW w:w="2835" w:type="dxa"/>
          </w:tcPr>
          <w:p w:rsidR="00A646B6" w:rsidRDefault="00A646B6" w:rsidP="002C6A92">
            <w:pPr>
              <w:jc w:val="both"/>
            </w:pPr>
            <w:r>
              <w:rPr>
                <w:spacing w:val="6"/>
              </w:rPr>
              <w:t>Сроки и этапы</w:t>
            </w:r>
            <w:r>
              <w:t xml:space="preserve"> реализации</w:t>
            </w:r>
          </w:p>
        </w:tc>
        <w:tc>
          <w:tcPr>
            <w:tcW w:w="7065" w:type="dxa"/>
          </w:tcPr>
          <w:p w:rsidR="00A646B6" w:rsidRDefault="00A646B6" w:rsidP="002C6A92">
            <w:pPr>
              <w:jc w:val="both"/>
            </w:pPr>
            <w:r>
              <w:t>2011 – 2013 годы</w:t>
            </w:r>
          </w:p>
        </w:tc>
      </w:tr>
      <w:tr w:rsidR="00A646B6" w:rsidTr="002C6A92">
        <w:trPr>
          <w:trHeight w:val="719"/>
        </w:trPr>
        <w:tc>
          <w:tcPr>
            <w:tcW w:w="2835" w:type="dxa"/>
          </w:tcPr>
          <w:p w:rsidR="00A646B6" w:rsidRDefault="00A646B6" w:rsidP="002C6A92">
            <w:pPr>
              <w:jc w:val="both"/>
              <w:rPr>
                <w:bCs/>
              </w:rPr>
            </w:pPr>
            <w:r>
              <w:rPr>
                <w:bCs/>
              </w:rPr>
              <w:t>Финансовое обеспечение</w:t>
            </w:r>
          </w:p>
        </w:tc>
        <w:tc>
          <w:tcPr>
            <w:tcW w:w="7065" w:type="dxa"/>
          </w:tcPr>
          <w:p w:rsidR="00A646B6" w:rsidRDefault="00A646B6" w:rsidP="002C6A92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t>Общие расходы местного бюджета на реализацию п</w:t>
            </w:r>
            <w:r>
              <w:rPr>
                <w:spacing w:val="-4"/>
              </w:rPr>
              <w:t>рограммы составят    10</w:t>
            </w:r>
            <w:r w:rsidRPr="00D273EE">
              <w:rPr>
                <w:spacing w:val="-4"/>
              </w:rPr>
              <w:t>2</w:t>
            </w:r>
            <w:r>
              <w:rPr>
                <w:spacing w:val="-4"/>
              </w:rPr>
              <w:t>0</w:t>
            </w:r>
            <w:r w:rsidRPr="00F04538">
              <w:rPr>
                <w:color w:val="FF0000"/>
                <w:spacing w:val="-4"/>
              </w:rPr>
              <w:t xml:space="preserve"> </w:t>
            </w:r>
            <w:r>
              <w:rPr>
                <w:spacing w:val="-4"/>
              </w:rPr>
              <w:t xml:space="preserve">тыс. рублей, в том числе: </w:t>
            </w:r>
          </w:p>
          <w:p w:rsidR="00A646B6" w:rsidRDefault="00A646B6" w:rsidP="002C6A92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2011 год – 330 тыс. руб.</w:t>
            </w:r>
          </w:p>
          <w:p w:rsidR="00A646B6" w:rsidRDefault="00A646B6" w:rsidP="002C6A92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2012 год – 340 тыс. руб.</w:t>
            </w:r>
          </w:p>
          <w:p w:rsidR="00A646B6" w:rsidRDefault="00A646B6" w:rsidP="002C6A92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2013 год – 350 тыс. руб.</w:t>
            </w:r>
          </w:p>
          <w:p w:rsidR="00A646B6" w:rsidRDefault="00A646B6" w:rsidP="002C6A92">
            <w:pPr>
              <w:pStyle w:val="BodyTextIndent"/>
            </w:pPr>
          </w:p>
        </w:tc>
      </w:tr>
      <w:tr w:rsidR="00A646B6" w:rsidTr="002C6A92">
        <w:trPr>
          <w:trHeight w:val="283"/>
        </w:trPr>
        <w:tc>
          <w:tcPr>
            <w:tcW w:w="2835" w:type="dxa"/>
          </w:tcPr>
          <w:p w:rsidR="00A646B6" w:rsidRDefault="00A646B6" w:rsidP="002C6A92">
            <w:pPr>
              <w:tabs>
                <w:tab w:val="left" w:pos="8080"/>
              </w:tabs>
              <w:jc w:val="both"/>
            </w:pPr>
            <w:r>
              <w:t>Основные ожидаемые конечные результаты</w:t>
            </w:r>
          </w:p>
        </w:tc>
        <w:tc>
          <w:tcPr>
            <w:tcW w:w="7065" w:type="dxa"/>
          </w:tcPr>
          <w:p w:rsidR="00A646B6" w:rsidRDefault="00A646B6" w:rsidP="002C6A92">
            <w:pPr>
              <w:tabs>
                <w:tab w:val="left" w:pos="8080"/>
              </w:tabs>
              <w:jc w:val="both"/>
            </w:pPr>
            <w:r>
              <w:t>Реализация Подпрограммы позволит обеспечить:</w:t>
            </w:r>
          </w:p>
          <w:p w:rsidR="00A646B6" w:rsidRDefault="00A646B6" w:rsidP="002C6A92">
            <w:pPr>
              <w:jc w:val="both"/>
            </w:pPr>
            <w:r>
              <w:t>1. увеличение количества зарегистрированных и действующих КФХ – 125 % к 2011 году. На 01.07.2011 года зарегистрировано КФХ – 8;</w:t>
            </w:r>
          </w:p>
          <w:p w:rsidR="00A646B6" w:rsidRDefault="00A646B6" w:rsidP="002C6A92">
            <w:pPr>
              <w:jc w:val="both"/>
            </w:pPr>
            <w:r>
              <w:t>2. увеличение численности работающих в КФХ на  25 %;</w:t>
            </w:r>
          </w:p>
          <w:p w:rsidR="00A646B6" w:rsidRDefault="00A646B6" w:rsidP="002C6A92">
            <w:pPr>
              <w:jc w:val="both"/>
            </w:pPr>
            <w:r>
              <w:t>3. увеличение производство продукции в КФХ к 2013 году,  должно вырасти по отношению к 2011 году на 10%. На 01.07.2011г. производство молока составило – 54,1 тонн, производство мяса – 1,8 тонн;</w:t>
            </w:r>
          </w:p>
          <w:p w:rsidR="00A646B6" w:rsidRDefault="00A646B6" w:rsidP="002C6A92">
            <w:pPr>
              <w:pStyle w:val="ConsPlusNormal"/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F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реализации продукции КФХ к 2011 году – 10 %. </w:t>
            </w:r>
          </w:p>
          <w:p w:rsidR="00A646B6" w:rsidRDefault="00A646B6" w:rsidP="002C6A92">
            <w:pPr>
              <w:tabs>
                <w:tab w:val="left" w:pos="8080"/>
              </w:tabs>
              <w:jc w:val="both"/>
            </w:pPr>
            <w:r>
              <w:t xml:space="preserve">5.увеличение количества вовлеченных в оборот земель сельскохозяйственного назначения в сельской местности на 5 % к уровню 2011 году. В 2011 году общая площадь пашни под КФХ составила </w:t>
            </w:r>
            <w:smartTag w:uri="urn:schemas-microsoft-com:office:smarttags" w:element="metricconverter">
              <w:smartTagPr>
                <w:attr w:name="ProductID" w:val="1138 га"/>
              </w:smartTagPr>
              <w:r>
                <w:t>1138 га</w:t>
              </w:r>
            </w:smartTag>
            <w:r>
              <w:t>.</w:t>
            </w:r>
          </w:p>
          <w:p w:rsidR="00A646B6" w:rsidRDefault="00A646B6" w:rsidP="002C6A92">
            <w:pPr>
              <w:tabs>
                <w:tab w:val="left" w:pos="8080"/>
              </w:tabs>
              <w:jc w:val="both"/>
            </w:pPr>
            <w:r>
              <w:t xml:space="preserve">6. </w:t>
            </w:r>
            <w:r w:rsidRPr="007730BB">
              <w:t>увеличение объема инвестиций в осн</w:t>
            </w:r>
            <w:r>
              <w:t>овной капитал малых предприятий на 1020 тыс. руб.</w:t>
            </w:r>
          </w:p>
        </w:tc>
      </w:tr>
    </w:tbl>
    <w:p w:rsidR="00A646B6" w:rsidRPr="00282DB6" w:rsidRDefault="00A646B6" w:rsidP="004C0825">
      <w:pPr>
        <w:spacing w:before="240" w:after="120"/>
        <w:jc w:val="center"/>
        <w:outlineLvl w:val="0"/>
      </w:pPr>
      <w:r w:rsidRPr="00282DB6">
        <w:t>1. Сущность решаемых проблем Программы</w:t>
      </w:r>
    </w:p>
    <w:p w:rsidR="00A646B6" w:rsidRDefault="00A646B6" w:rsidP="004C0825">
      <w:pPr>
        <w:tabs>
          <w:tab w:val="left" w:pos="8080"/>
        </w:tabs>
        <w:ind w:firstLine="709"/>
        <w:jc w:val="both"/>
      </w:pPr>
      <w:r>
        <w:t xml:space="preserve">В сельскохозяйственном производстве </w:t>
      </w:r>
      <w:r w:rsidRPr="000C11B6">
        <w:t>Невь</w:t>
      </w:r>
      <w:r>
        <w:t xml:space="preserve">янского городского округа существует ряд проблем, в том числе связанных с резким падением объемов производства продукции животноводства и растениеводства (Таблица 1). </w:t>
      </w:r>
    </w:p>
    <w:p w:rsidR="00A646B6" w:rsidRDefault="00A646B6" w:rsidP="004C0825">
      <w:pPr>
        <w:tabs>
          <w:tab w:val="left" w:pos="8080"/>
        </w:tabs>
        <w:ind w:firstLine="709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080"/>
        <w:gridCol w:w="1080"/>
        <w:gridCol w:w="1080"/>
        <w:gridCol w:w="1080"/>
      </w:tblGrid>
      <w:tr w:rsidR="00A646B6" w:rsidTr="002C6A92">
        <w:trPr>
          <w:trHeight w:val="705"/>
        </w:trPr>
        <w:tc>
          <w:tcPr>
            <w:tcW w:w="5580" w:type="dxa"/>
          </w:tcPr>
          <w:p w:rsidR="00A646B6" w:rsidRDefault="00A646B6" w:rsidP="002C6A9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2008 год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2009 год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2010 год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6 мес. 2011 года</w:t>
            </w:r>
          </w:p>
        </w:tc>
      </w:tr>
      <w:tr w:rsidR="00A646B6" w:rsidTr="002C6A92">
        <w:trPr>
          <w:trHeight w:val="495"/>
        </w:trPr>
        <w:tc>
          <w:tcPr>
            <w:tcW w:w="5580" w:type="dxa"/>
          </w:tcPr>
          <w:p w:rsidR="00A646B6" w:rsidRDefault="00A646B6" w:rsidP="002C6A92">
            <w:r>
              <w:t>Объем произведенной продукции (млн. руб.)</w:t>
            </w:r>
          </w:p>
          <w:p w:rsidR="00A646B6" w:rsidRDefault="00A646B6" w:rsidP="002C6A92"/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43,8</w:t>
            </w:r>
          </w:p>
          <w:p w:rsidR="00A646B6" w:rsidRDefault="00A646B6" w:rsidP="002C6A92">
            <w:pPr>
              <w:jc w:val="center"/>
            </w:pP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34</w:t>
            </w:r>
          </w:p>
          <w:p w:rsidR="00A646B6" w:rsidRDefault="00A646B6" w:rsidP="002C6A92">
            <w:pPr>
              <w:jc w:val="center"/>
            </w:pP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5</w:t>
            </w:r>
          </w:p>
          <w:p w:rsidR="00A646B6" w:rsidRDefault="00A646B6" w:rsidP="002C6A92">
            <w:pPr>
              <w:jc w:val="center"/>
            </w:pPr>
          </w:p>
        </w:tc>
      </w:tr>
      <w:tr w:rsidR="00A646B6" w:rsidTr="002C6A92">
        <w:trPr>
          <w:trHeight w:val="600"/>
        </w:trPr>
        <w:tc>
          <w:tcPr>
            <w:tcW w:w="5580" w:type="dxa"/>
          </w:tcPr>
          <w:p w:rsidR="00A646B6" w:rsidRDefault="00A646B6" w:rsidP="002C6A92">
            <w:r>
              <w:t>Количество крупных, средних, малых сельхозпредприятий (ед.)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</w:t>
            </w:r>
          </w:p>
          <w:p w:rsidR="00A646B6" w:rsidRDefault="00A646B6" w:rsidP="002C6A92">
            <w:pPr>
              <w:jc w:val="center"/>
            </w:pPr>
          </w:p>
        </w:tc>
      </w:tr>
      <w:tr w:rsidR="00A646B6" w:rsidTr="002C6A92">
        <w:trPr>
          <w:trHeight w:val="555"/>
        </w:trPr>
        <w:tc>
          <w:tcPr>
            <w:tcW w:w="5580" w:type="dxa"/>
          </w:tcPr>
          <w:p w:rsidR="00A646B6" w:rsidRDefault="00A646B6" w:rsidP="002C6A92">
            <w:r>
              <w:t>Количество крестьянских (фермерских) хозяйств (ед.)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</w:t>
            </w:r>
          </w:p>
          <w:p w:rsidR="00A646B6" w:rsidRDefault="00A646B6" w:rsidP="002C6A92">
            <w:pPr>
              <w:jc w:val="center"/>
            </w:pPr>
          </w:p>
        </w:tc>
      </w:tr>
      <w:tr w:rsidR="00A646B6" w:rsidTr="002C6A92">
        <w:trPr>
          <w:trHeight w:val="540"/>
        </w:trPr>
        <w:tc>
          <w:tcPr>
            <w:tcW w:w="5580" w:type="dxa"/>
          </w:tcPr>
          <w:p w:rsidR="00A646B6" w:rsidRDefault="00A646B6" w:rsidP="002C6A92">
            <w:r>
              <w:t>Количество индивидуальных предпринимателей (ед.)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40</w:t>
            </w:r>
          </w:p>
          <w:p w:rsidR="00A646B6" w:rsidRDefault="00A646B6" w:rsidP="002C6A92">
            <w:pPr>
              <w:jc w:val="center"/>
            </w:pPr>
          </w:p>
        </w:tc>
      </w:tr>
      <w:tr w:rsidR="00A646B6" w:rsidTr="002C6A92">
        <w:trPr>
          <w:trHeight w:val="645"/>
        </w:trPr>
        <w:tc>
          <w:tcPr>
            <w:tcW w:w="5580" w:type="dxa"/>
          </w:tcPr>
          <w:p w:rsidR="00A646B6" w:rsidRDefault="00A646B6" w:rsidP="002C6A92">
            <w:r>
              <w:t>Крупный рогатый скот (голов), в том числе</w:t>
            </w:r>
          </w:p>
          <w:p w:rsidR="00A646B6" w:rsidRDefault="00A646B6" w:rsidP="002C6A92">
            <w:r>
              <w:t>- коровы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1113</w:t>
            </w:r>
          </w:p>
          <w:p w:rsidR="00A646B6" w:rsidRDefault="00A646B6" w:rsidP="002C6A92">
            <w:pPr>
              <w:jc w:val="center"/>
            </w:pPr>
            <w:r>
              <w:t>513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823</w:t>
            </w:r>
          </w:p>
          <w:p w:rsidR="00A646B6" w:rsidRDefault="00A646B6" w:rsidP="002C6A92">
            <w:pPr>
              <w:jc w:val="center"/>
            </w:pPr>
            <w:r>
              <w:t>361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614</w:t>
            </w:r>
          </w:p>
          <w:p w:rsidR="00A646B6" w:rsidRDefault="00A646B6" w:rsidP="002C6A92">
            <w:pPr>
              <w:jc w:val="center"/>
            </w:pPr>
            <w:r>
              <w:t>364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559</w:t>
            </w:r>
          </w:p>
          <w:p w:rsidR="00A646B6" w:rsidRDefault="00A646B6" w:rsidP="002C6A92">
            <w:pPr>
              <w:jc w:val="center"/>
            </w:pPr>
            <w:r>
              <w:t>326</w:t>
            </w:r>
          </w:p>
        </w:tc>
      </w:tr>
      <w:tr w:rsidR="00A646B6" w:rsidTr="002C6A92">
        <w:trPr>
          <w:trHeight w:val="367"/>
        </w:trPr>
        <w:tc>
          <w:tcPr>
            <w:tcW w:w="5580" w:type="dxa"/>
          </w:tcPr>
          <w:p w:rsidR="00A646B6" w:rsidRDefault="00A646B6" w:rsidP="002C6A92">
            <w:r>
              <w:t>Свиньи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158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48</w:t>
            </w:r>
          </w:p>
        </w:tc>
      </w:tr>
      <w:tr w:rsidR="00A646B6" w:rsidTr="002C6A92">
        <w:trPr>
          <w:trHeight w:val="350"/>
        </w:trPr>
        <w:tc>
          <w:tcPr>
            <w:tcW w:w="5580" w:type="dxa"/>
          </w:tcPr>
          <w:p w:rsidR="00A646B6" w:rsidRDefault="00A646B6" w:rsidP="002C6A92">
            <w:r>
              <w:t>Лошади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</w:t>
            </w:r>
          </w:p>
        </w:tc>
      </w:tr>
      <w:tr w:rsidR="00A646B6" w:rsidTr="002C6A92">
        <w:trPr>
          <w:trHeight w:val="359"/>
        </w:trPr>
        <w:tc>
          <w:tcPr>
            <w:tcW w:w="5580" w:type="dxa"/>
          </w:tcPr>
          <w:p w:rsidR="00A646B6" w:rsidRDefault="00A646B6" w:rsidP="002C6A92">
            <w:r>
              <w:t>Реализовано на убой скота в живом весе (цн)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1028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1234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472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111</w:t>
            </w:r>
          </w:p>
        </w:tc>
      </w:tr>
      <w:tr w:rsidR="00A646B6" w:rsidTr="002C6A92">
        <w:trPr>
          <w:trHeight w:val="355"/>
        </w:trPr>
        <w:tc>
          <w:tcPr>
            <w:tcW w:w="5580" w:type="dxa"/>
          </w:tcPr>
          <w:p w:rsidR="00A646B6" w:rsidRDefault="00A646B6" w:rsidP="002C6A92">
            <w:r>
              <w:t>Надоено молока (цн)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12824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12670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8334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2886</w:t>
            </w:r>
          </w:p>
        </w:tc>
      </w:tr>
      <w:tr w:rsidR="00A646B6" w:rsidTr="002C6A92">
        <w:trPr>
          <w:trHeight w:val="338"/>
        </w:trPr>
        <w:tc>
          <w:tcPr>
            <w:tcW w:w="5580" w:type="dxa"/>
          </w:tcPr>
          <w:p w:rsidR="00A646B6" w:rsidRDefault="00A646B6" w:rsidP="002C6A92">
            <w:r>
              <w:t>Надой на 1 корову (кг)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2606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2578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2036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847</w:t>
            </w:r>
          </w:p>
        </w:tc>
      </w:tr>
      <w:tr w:rsidR="00A646B6" w:rsidTr="002C6A92">
        <w:trPr>
          <w:trHeight w:val="527"/>
        </w:trPr>
        <w:tc>
          <w:tcPr>
            <w:tcW w:w="5580" w:type="dxa"/>
          </w:tcPr>
          <w:p w:rsidR="00A646B6" w:rsidRDefault="00A646B6" w:rsidP="002C6A92">
            <w:r>
              <w:t>Среднесуточные привесы крупного рогатого скота (грамм)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363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370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411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280</w:t>
            </w:r>
          </w:p>
        </w:tc>
      </w:tr>
      <w:tr w:rsidR="00A646B6" w:rsidTr="002C6A92">
        <w:trPr>
          <w:trHeight w:val="270"/>
        </w:trPr>
        <w:tc>
          <w:tcPr>
            <w:tcW w:w="5580" w:type="dxa"/>
          </w:tcPr>
          <w:p w:rsidR="00A646B6" w:rsidRDefault="00A646B6" w:rsidP="002C6A92">
            <w:r>
              <w:t>Получено телят (голов)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441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441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213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78</w:t>
            </w:r>
          </w:p>
        </w:tc>
      </w:tr>
      <w:tr w:rsidR="00A646B6" w:rsidTr="002C6A92">
        <w:trPr>
          <w:trHeight w:val="270"/>
        </w:trPr>
        <w:tc>
          <w:tcPr>
            <w:tcW w:w="5580" w:type="dxa"/>
          </w:tcPr>
          <w:p w:rsidR="00A646B6" w:rsidRDefault="00A646B6" w:rsidP="002C6A92">
            <w:r>
              <w:t>Получено поросят (голов)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265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248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107</w:t>
            </w:r>
          </w:p>
        </w:tc>
      </w:tr>
      <w:tr w:rsidR="00A646B6" w:rsidTr="002C6A92">
        <w:trPr>
          <w:trHeight w:val="360"/>
        </w:trPr>
        <w:tc>
          <w:tcPr>
            <w:tcW w:w="5580" w:type="dxa"/>
          </w:tcPr>
          <w:p w:rsidR="00A646B6" w:rsidRDefault="00A646B6" w:rsidP="002C6A92">
            <w:r>
              <w:t>Продано сельхоз предприятиями населению крупного рогатого скота (голов)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980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1027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380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115</w:t>
            </w:r>
          </w:p>
        </w:tc>
      </w:tr>
      <w:tr w:rsidR="00A646B6" w:rsidTr="002C6A92">
        <w:trPr>
          <w:trHeight w:val="525"/>
        </w:trPr>
        <w:tc>
          <w:tcPr>
            <w:tcW w:w="5580" w:type="dxa"/>
          </w:tcPr>
          <w:p w:rsidR="00A646B6" w:rsidRDefault="00A646B6" w:rsidP="002C6A92">
            <w:r>
              <w:t>Площадь пашни (га), в том числе</w:t>
            </w:r>
          </w:p>
          <w:p w:rsidR="00A646B6" w:rsidRDefault="00A646B6" w:rsidP="002C6A92">
            <w:r>
              <w:t>- занято яровыми культурами (га)</w:t>
            </w:r>
          </w:p>
          <w:p w:rsidR="00A646B6" w:rsidRDefault="00A646B6" w:rsidP="002C6A92">
            <w:r>
              <w:t>- под многолетними травами посева прошлых лет (га)</w:t>
            </w:r>
          </w:p>
          <w:p w:rsidR="00A646B6" w:rsidRDefault="00A646B6" w:rsidP="002C6A92">
            <w:r>
              <w:t>- под парами (га)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 xml:space="preserve">13125 </w:t>
            </w:r>
          </w:p>
          <w:p w:rsidR="00A646B6" w:rsidRDefault="00A646B6" w:rsidP="002C6A92">
            <w:pPr>
              <w:jc w:val="center"/>
            </w:pPr>
            <w:r>
              <w:t>1802</w:t>
            </w:r>
          </w:p>
          <w:p w:rsidR="00A646B6" w:rsidRDefault="00A646B6" w:rsidP="002C6A92">
            <w:pPr>
              <w:jc w:val="center"/>
            </w:pPr>
            <w:r>
              <w:t>3688</w:t>
            </w:r>
          </w:p>
          <w:p w:rsidR="00A646B6" w:rsidRDefault="00A646B6" w:rsidP="002C6A92">
            <w:pPr>
              <w:jc w:val="center"/>
            </w:pPr>
          </w:p>
          <w:p w:rsidR="00A646B6" w:rsidRDefault="00A646B6" w:rsidP="002C6A92">
            <w:pPr>
              <w:jc w:val="center"/>
            </w:pPr>
            <w:r>
              <w:t>780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13125</w:t>
            </w:r>
          </w:p>
          <w:p w:rsidR="00A646B6" w:rsidRDefault="00A646B6" w:rsidP="002C6A92">
            <w:pPr>
              <w:jc w:val="center"/>
            </w:pPr>
            <w:r>
              <w:t>889</w:t>
            </w:r>
          </w:p>
          <w:p w:rsidR="00A646B6" w:rsidRDefault="00A646B6" w:rsidP="002C6A92">
            <w:pPr>
              <w:jc w:val="center"/>
            </w:pPr>
            <w:r>
              <w:t>2437</w:t>
            </w:r>
          </w:p>
          <w:p w:rsidR="00A646B6" w:rsidRDefault="00A646B6" w:rsidP="002C6A92">
            <w:pPr>
              <w:jc w:val="center"/>
            </w:pPr>
          </w:p>
          <w:p w:rsidR="00A646B6" w:rsidRDefault="00A646B6" w:rsidP="002C6A92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13125</w:t>
            </w:r>
          </w:p>
          <w:p w:rsidR="00A646B6" w:rsidRDefault="00A646B6" w:rsidP="002C6A92">
            <w:pPr>
              <w:jc w:val="center"/>
            </w:pPr>
            <w:r>
              <w:t>870</w:t>
            </w:r>
          </w:p>
          <w:p w:rsidR="00A646B6" w:rsidRDefault="00A646B6" w:rsidP="002C6A92">
            <w:pPr>
              <w:jc w:val="center"/>
            </w:pPr>
            <w:r>
              <w:t>2632</w:t>
            </w:r>
          </w:p>
          <w:p w:rsidR="00A646B6" w:rsidRDefault="00A646B6" w:rsidP="002C6A92">
            <w:pPr>
              <w:jc w:val="center"/>
            </w:pPr>
          </w:p>
          <w:p w:rsidR="00A646B6" w:rsidRDefault="00A646B6" w:rsidP="002C6A92">
            <w:pPr>
              <w:jc w:val="center"/>
            </w:pPr>
            <w:r>
              <w:t>130</w:t>
            </w:r>
          </w:p>
        </w:tc>
        <w:tc>
          <w:tcPr>
            <w:tcW w:w="1080" w:type="dxa"/>
          </w:tcPr>
          <w:p w:rsidR="00A646B6" w:rsidRDefault="00A646B6" w:rsidP="002C6A92">
            <w:pPr>
              <w:jc w:val="center"/>
            </w:pPr>
            <w:r>
              <w:t>13125</w:t>
            </w:r>
          </w:p>
          <w:p w:rsidR="00A646B6" w:rsidRDefault="00A646B6" w:rsidP="002C6A92">
            <w:pPr>
              <w:jc w:val="center"/>
            </w:pPr>
            <w:r>
              <w:t>786</w:t>
            </w:r>
          </w:p>
          <w:p w:rsidR="00A646B6" w:rsidRDefault="00A646B6" w:rsidP="002C6A92">
            <w:pPr>
              <w:jc w:val="center"/>
            </w:pPr>
            <w:r>
              <w:t>2986</w:t>
            </w:r>
          </w:p>
          <w:p w:rsidR="00A646B6" w:rsidRDefault="00A646B6" w:rsidP="002C6A92">
            <w:pPr>
              <w:jc w:val="center"/>
            </w:pPr>
          </w:p>
          <w:p w:rsidR="00A646B6" w:rsidRDefault="00A646B6" w:rsidP="002C6A92">
            <w:pPr>
              <w:jc w:val="center"/>
            </w:pPr>
            <w:r>
              <w:t>170</w:t>
            </w:r>
          </w:p>
        </w:tc>
      </w:tr>
    </w:tbl>
    <w:p w:rsidR="00A646B6" w:rsidRDefault="00A646B6" w:rsidP="004C0825">
      <w:pPr>
        <w:tabs>
          <w:tab w:val="left" w:pos="8080"/>
        </w:tabs>
        <w:ind w:firstLine="709"/>
        <w:jc w:val="both"/>
      </w:pPr>
    </w:p>
    <w:p w:rsidR="00A646B6" w:rsidRDefault="00A646B6" w:rsidP="004C0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экономического роста в сельском хозяйстве, отсутствие условий для альтернативной занятости на селе,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села. </w:t>
      </w:r>
    </w:p>
    <w:p w:rsidR="00A646B6" w:rsidRDefault="00A646B6" w:rsidP="004C0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замедления развития отрасли сельского хозяйства Невьянского городского округа являются:</w:t>
      </w:r>
    </w:p>
    <w:p w:rsidR="00A646B6" w:rsidRDefault="00A646B6" w:rsidP="004C0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темпы структурно-технологической модернизации отрасли, обновления основных производственных фондов;</w:t>
      </w:r>
    </w:p>
    <w:p w:rsidR="00A646B6" w:rsidRDefault="00A646B6" w:rsidP="004C0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общие условия функционирования сельского хозяйства, прежде всего неудовлетворительный уровень развития рыночной инфраструктуры, затрудняющий доступ КФХ к рынкам финансовых, материально-технических и информационных ресурсов, готовой продукции;</w:t>
      </w:r>
    </w:p>
    <w:p w:rsidR="00A646B6" w:rsidRDefault="00A646B6" w:rsidP="004C0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кадров, в том числе молодых кадров, вызванный низким уровнем заработной платы и качества жизни в сельской местности.</w:t>
      </w:r>
    </w:p>
    <w:p w:rsidR="00A646B6" w:rsidRDefault="00A646B6" w:rsidP="004C0825">
      <w:pPr>
        <w:ind w:firstLine="720"/>
        <w:jc w:val="both"/>
        <w:outlineLvl w:val="0"/>
      </w:pPr>
      <w:r>
        <w:t>Решение проблем развития сельского хозяйства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КФХ Невьянского городского округа.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м</w:t>
      </w:r>
      <w:r w:rsidRPr="00926250">
        <w:t>униципальн</w:t>
      </w:r>
      <w:r>
        <w:t>ой</w:t>
      </w:r>
      <w:r w:rsidRPr="00926250">
        <w:t xml:space="preserve"> целев</w:t>
      </w:r>
      <w:r>
        <w:t>ой</w:t>
      </w:r>
      <w:r w:rsidRPr="00926250">
        <w:t xml:space="preserve"> программ</w:t>
      </w:r>
      <w:r>
        <w:t xml:space="preserve">ы </w:t>
      </w:r>
      <w:r w:rsidRPr="00926250">
        <w:t xml:space="preserve"> «</w:t>
      </w:r>
      <w:r>
        <w:t>Р</w:t>
      </w:r>
      <w:r w:rsidRPr="00926250">
        <w:t>азвити</w:t>
      </w:r>
      <w:r>
        <w:t>е</w:t>
      </w:r>
      <w:r w:rsidRPr="00926250">
        <w:t xml:space="preserve"> малых форм хозяйствования – крестьянских (фермерских) хозяйств в Невьянском городском округе на 2011 – 2013 годы»  </w:t>
      </w:r>
      <w:r>
        <w:t>(далее – Программа).</w:t>
      </w:r>
    </w:p>
    <w:p w:rsidR="00A646B6" w:rsidRPr="00926250" w:rsidRDefault="00A646B6" w:rsidP="004C0825">
      <w:pPr>
        <w:ind w:firstLine="720"/>
        <w:jc w:val="both"/>
        <w:outlineLvl w:val="0"/>
      </w:pPr>
    </w:p>
    <w:p w:rsidR="00A646B6" w:rsidRPr="00282DB6" w:rsidRDefault="00A646B6" w:rsidP="004C0825">
      <w:pPr>
        <w:spacing w:before="240" w:after="120"/>
        <w:jc w:val="center"/>
        <w:outlineLvl w:val="0"/>
      </w:pPr>
      <w:r w:rsidRPr="00282DB6">
        <w:t xml:space="preserve">2. Цели и задачи Программы </w:t>
      </w:r>
    </w:p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Целями Программы являются создание благоприятных условий для развития в 2011 -  2013 годах </w:t>
      </w:r>
      <w:r w:rsidRPr="002C36AE">
        <w:t>крестьянско-фермерских хозяйств в сельск</w:t>
      </w:r>
      <w:r>
        <w:t>ой местности Невьянского городского округа.</w:t>
      </w:r>
      <w:r w:rsidRPr="00447B3C">
        <w:t xml:space="preserve"> </w:t>
      </w:r>
    </w:p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Уровень производства во многих личных подсобных хозяйствах (далее – ЛПХ) значительно выше уровня производства в КФХ. Это обстоятельство говорит о том, что ЛПХ является хорошей базой для дальнейшего развития фермерства.</w:t>
      </w:r>
      <w:r w:rsidRPr="00BE6EA3">
        <w:t xml:space="preserve"> </w:t>
      </w:r>
      <w:r>
        <w:t>Доход, получаемый от крестьянского (фермерского) или личного подсобного хозяйства, иногда является единственным источником дохода для сельских жителей, т.к. сфера применения их труда на конкретной территории весьма ограничена.</w:t>
      </w:r>
    </w:p>
    <w:p w:rsidR="00A646B6" w:rsidRDefault="00A646B6" w:rsidP="004C0825">
      <w:pPr>
        <w:tabs>
          <w:tab w:val="left" w:pos="8080"/>
        </w:tabs>
        <w:ind w:firstLine="709"/>
        <w:jc w:val="both"/>
      </w:pPr>
      <w:r>
        <w:t>Задачами Программы является:</w:t>
      </w:r>
    </w:p>
    <w:p w:rsidR="00A646B6" w:rsidRDefault="00A646B6" w:rsidP="004C0825">
      <w:pPr>
        <w:jc w:val="both"/>
      </w:pPr>
      <w:r>
        <w:t>- увеличение количества зарегистрированных и действующих КФХ в сельской местности;</w:t>
      </w:r>
    </w:p>
    <w:p w:rsidR="00A646B6" w:rsidRDefault="00A646B6" w:rsidP="004C0825">
      <w:pPr>
        <w:jc w:val="both"/>
      </w:pPr>
      <w:r>
        <w:t>- увеличение численности работающих в КФХ;</w:t>
      </w:r>
    </w:p>
    <w:p w:rsidR="00A646B6" w:rsidRDefault="00A646B6" w:rsidP="004C0825">
      <w:pPr>
        <w:jc w:val="both"/>
      </w:pPr>
      <w:r>
        <w:t>-увеличение количества поголовья скота и птицы в сельских поселениях;</w:t>
      </w:r>
    </w:p>
    <w:p w:rsidR="00A646B6" w:rsidRDefault="00A646B6" w:rsidP="004C0825">
      <w:pPr>
        <w:jc w:val="both"/>
      </w:pPr>
      <w:r>
        <w:t>-увеличение количества вовлеченных в оборот земель сельскохозяйственного назначения в сельских поселениях;</w:t>
      </w:r>
    </w:p>
    <w:p w:rsidR="00A646B6" w:rsidRDefault="00A646B6" w:rsidP="004C0825">
      <w:pPr>
        <w:jc w:val="both"/>
      </w:pPr>
      <w:r>
        <w:t>- рост объема реализации продукции крестьянскими (фермерскими) хозяйствами к предыдущему году;</w:t>
      </w:r>
    </w:p>
    <w:p w:rsidR="00A646B6" w:rsidRDefault="00A646B6" w:rsidP="004C0825">
      <w:pPr>
        <w:tabs>
          <w:tab w:val="left" w:pos="8080"/>
        </w:tabs>
      </w:pPr>
      <w:r>
        <w:t>-увеличение объема инвестиций в основной капитал малых предприятий.</w:t>
      </w:r>
    </w:p>
    <w:p w:rsidR="00A646B6" w:rsidRPr="00282DB6" w:rsidRDefault="00A646B6" w:rsidP="004C0825">
      <w:pPr>
        <w:spacing w:before="240" w:after="120"/>
        <w:jc w:val="center"/>
      </w:pPr>
      <w:r w:rsidRPr="00282DB6">
        <w:t>3. Механизмы реализации Программы.</w:t>
      </w:r>
    </w:p>
    <w:p w:rsidR="00A646B6" w:rsidRDefault="00A646B6" w:rsidP="004C0825">
      <w:pPr>
        <w:ind w:firstLine="709"/>
        <w:jc w:val="both"/>
      </w:pPr>
      <w:r>
        <w:t>Для достижения основных  целевых индикаторов (Приложение № 2)  отделом экономики, муниципального заказа, торговли и бытового обслуживания администрации Невьянского городского округа, совместно с Территориальным отделом исполнительного органа власти Свердловской области Пригородного управления сельского хозяйства и продовольствия Свердловской области разработан план мероприятий по</w:t>
      </w:r>
      <w:r w:rsidRPr="00210185">
        <w:t xml:space="preserve"> </w:t>
      </w:r>
      <w:r>
        <w:t xml:space="preserve">развитию КФХ в Невьянском городском округе на 2011 – 2013 годы (Приложение № 1). </w:t>
      </w:r>
    </w:p>
    <w:p w:rsidR="00A646B6" w:rsidRPr="00282DB6" w:rsidRDefault="00A646B6" w:rsidP="004C0825">
      <w:pPr>
        <w:tabs>
          <w:tab w:val="left" w:pos="8080"/>
        </w:tabs>
        <w:spacing w:before="240" w:after="120"/>
        <w:ind w:firstLine="709"/>
        <w:jc w:val="center"/>
      </w:pPr>
      <w:r w:rsidRPr="00282DB6">
        <w:t>4. Сроки реализации Программы</w:t>
      </w:r>
    </w:p>
    <w:p w:rsidR="00A646B6" w:rsidRDefault="00A646B6" w:rsidP="004C0825">
      <w:pPr>
        <w:tabs>
          <w:tab w:val="left" w:pos="8080"/>
        </w:tabs>
        <w:ind w:firstLine="709"/>
        <w:jc w:val="both"/>
      </w:pPr>
      <w:r>
        <w:t>Реализация Программы осуществляется в течение 2011 - 2013 годов.</w:t>
      </w:r>
    </w:p>
    <w:p w:rsidR="00A646B6" w:rsidRPr="00282D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outlineLvl w:val="0"/>
      </w:pPr>
      <w:r w:rsidRPr="00282DB6">
        <w:t>5. Объемы финансирования Программы</w:t>
      </w:r>
    </w:p>
    <w:p w:rsidR="00A646B6" w:rsidRDefault="00A646B6" w:rsidP="004C0825">
      <w:pPr>
        <w:tabs>
          <w:tab w:val="left" w:pos="0"/>
        </w:tabs>
        <w:ind w:firstLine="709"/>
        <w:jc w:val="both"/>
      </w:pPr>
      <w:r>
        <w:t>Объем финансирования Программы на 2011 - 2012 годы за счет средств местного бюджета составит 1020 тыс. рублей, в том числе:</w:t>
      </w:r>
    </w:p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 2011 году – 330 тыс. рублей;</w:t>
      </w:r>
    </w:p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в 2012 году – 340 тыс. рублей;  </w:t>
      </w:r>
    </w:p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 2013 году – 350 тыс. рублей.</w:t>
      </w:r>
    </w:p>
    <w:p w:rsidR="00A646B6" w:rsidRPr="00282D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outlineLvl w:val="0"/>
      </w:pPr>
      <w:r w:rsidRPr="00282DB6">
        <w:t>6. Прогноз ожидаемых результатов реализации Программы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увеличение базовых показателей социально-экономического развития Невьянского городского округа. 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 обеспечить:</w:t>
      </w:r>
    </w:p>
    <w:p w:rsidR="00A646B6" w:rsidRDefault="00A646B6" w:rsidP="004C0825">
      <w:pPr>
        <w:tabs>
          <w:tab w:val="left" w:pos="1080"/>
        </w:tabs>
        <w:ind w:firstLine="720"/>
        <w:jc w:val="both"/>
      </w:pPr>
      <w:r>
        <w:t>1.</w:t>
      </w:r>
      <w:r>
        <w:tab/>
        <w:t>увеличение количества зарегистрированных и действующих КФХ – на 25 % в сельской местности;</w:t>
      </w:r>
    </w:p>
    <w:p w:rsidR="00A646B6" w:rsidRDefault="00A646B6" w:rsidP="004C0825">
      <w:pPr>
        <w:tabs>
          <w:tab w:val="left" w:pos="1080"/>
        </w:tabs>
        <w:ind w:firstLine="720"/>
        <w:jc w:val="both"/>
      </w:pPr>
      <w:r>
        <w:t>2.</w:t>
      </w:r>
      <w:r>
        <w:tab/>
        <w:t>увеличение численности работающих в КХФ на  25 %;</w:t>
      </w:r>
    </w:p>
    <w:p w:rsidR="00A646B6" w:rsidRDefault="00A646B6" w:rsidP="004C0825">
      <w:pPr>
        <w:tabs>
          <w:tab w:val="left" w:pos="1080"/>
        </w:tabs>
        <w:ind w:firstLine="720"/>
        <w:jc w:val="both"/>
      </w:pPr>
      <w:r>
        <w:t>3.</w:t>
      </w:r>
      <w:r>
        <w:tab/>
        <w:t>увеличение производство продукции в КФХ Невьянского городского округа в 2013 году должно вырасти по отношению к 2011 году на 10%;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3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рост объема реализации продукции, произведенной крестьянскими (фермерскими) хозяйствами к 2011 году  – 10 %;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730BB">
        <w:rPr>
          <w:rFonts w:ascii="Times New Roman" w:hAnsi="Times New Roman" w:cs="Times New Roman"/>
          <w:sz w:val="24"/>
          <w:szCs w:val="24"/>
        </w:rPr>
        <w:t>увеличение количества вовлеченных в оборот земель сельскохозяйственного назна</w:t>
      </w:r>
      <w:r>
        <w:rPr>
          <w:rFonts w:ascii="Times New Roman" w:hAnsi="Times New Roman" w:cs="Times New Roman"/>
          <w:sz w:val="24"/>
          <w:szCs w:val="24"/>
        </w:rPr>
        <w:t xml:space="preserve">чения в сельских поселениях на </w:t>
      </w:r>
      <w:r w:rsidRPr="007730B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% к уровню 2011 года;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7730BB">
        <w:rPr>
          <w:rFonts w:ascii="Times New Roman" w:hAnsi="Times New Roman" w:cs="Times New Roman"/>
          <w:sz w:val="24"/>
          <w:szCs w:val="24"/>
        </w:rPr>
        <w:t>увеличение объема инвестиций в осн</w:t>
      </w:r>
      <w:r>
        <w:rPr>
          <w:rFonts w:ascii="Times New Roman" w:hAnsi="Times New Roman" w:cs="Times New Roman"/>
          <w:sz w:val="24"/>
          <w:szCs w:val="24"/>
        </w:rPr>
        <w:t>овной капитал малых предприятий (Приложение № 2)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</w:pPr>
    </w:p>
    <w:p w:rsidR="00A646B6" w:rsidRPr="00E3666C" w:rsidRDefault="00A646B6" w:rsidP="00F37F29">
      <w:pPr>
        <w:rPr>
          <w:sz w:val="28"/>
          <w:szCs w:val="28"/>
        </w:rPr>
        <w:sectPr w:rsidR="00A646B6" w:rsidRPr="00E3666C" w:rsidSect="003C5203">
          <w:pgSz w:w="11906" w:h="16838"/>
          <w:pgMar w:top="539" w:right="746" w:bottom="539" w:left="1440" w:header="708" w:footer="708" w:gutter="0"/>
          <w:cols w:space="708"/>
          <w:docGrid w:linePitch="360"/>
        </w:sectPr>
      </w:pP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>
        <w:t xml:space="preserve">к муниципальной целевой программе 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>
        <w:t>"</w:t>
      </w:r>
      <w:r w:rsidRPr="002C36AE">
        <w:t xml:space="preserve">Развитие </w:t>
      </w:r>
      <w:r>
        <w:t xml:space="preserve">малых форм хозяйствования –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 w:rsidRPr="002C36AE">
        <w:t>крестьянск</w:t>
      </w:r>
      <w:r>
        <w:t>их (</w:t>
      </w:r>
      <w:r w:rsidRPr="002C36AE">
        <w:t>фермерских</w:t>
      </w:r>
      <w:r>
        <w:t>)</w:t>
      </w:r>
      <w:r w:rsidRPr="002C36AE">
        <w:t xml:space="preserve"> хозяйств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 w:rsidRPr="002C36AE">
        <w:t xml:space="preserve">в </w:t>
      </w:r>
      <w:r>
        <w:t>Невьянском городском округе на 2011 – 2013 годы"</w:t>
      </w:r>
    </w:p>
    <w:p w:rsidR="00A646B6" w:rsidRDefault="00A646B6" w:rsidP="004C0825">
      <w:pPr>
        <w:pStyle w:val="ConsPlusNormal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646B6" w:rsidRPr="00CF1975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outlineLvl w:val="0"/>
        <w:rPr>
          <w:sz w:val="28"/>
          <w:szCs w:val="28"/>
        </w:rPr>
      </w:pPr>
      <w:r w:rsidRPr="00CF1975">
        <w:rPr>
          <w:sz w:val="28"/>
          <w:szCs w:val="28"/>
        </w:rPr>
        <w:t xml:space="preserve">7. Перечень мероприятий </w:t>
      </w:r>
      <w:r>
        <w:rPr>
          <w:sz w:val="28"/>
          <w:szCs w:val="28"/>
        </w:rPr>
        <w:t>по развитию КФХ в Невьянском городском округе на 2011 – 2013 годы</w:t>
      </w:r>
    </w:p>
    <w:tbl>
      <w:tblPr>
        <w:tblW w:w="1442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760"/>
        <w:gridCol w:w="1800"/>
        <w:gridCol w:w="3239"/>
        <w:gridCol w:w="1260"/>
        <w:gridCol w:w="1260"/>
        <w:gridCol w:w="1266"/>
        <w:gridCol w:w="1205"/>
      </w:tblGrid>
      <w:tr w:rsidR="00A646B6" w:rsidRPr="00896313" w:rsidTr="000874B3">
        <w:trPr>
          <w:trHeight w:val="685"/>
        </w:trPr>
        <w:tc>
          <w:tcPr>
            <w:tcW w:w="635" w:type="dxa"/>
            <w:vMerge w:val="restart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0874B3">
              <w:rPr>
                <w:lang w:val="en-US"/>
              </w:rPr>
              <w:t>N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п/п</w:t>
            </w:r>
          </w:p>
        </w:tc>
        <w:tc>
          <w:tcPr>
            <w:tcW w:w="3761" w:type="dxa"/>
            <w:vMerge w:val="restart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Наименование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Сроки реализации,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годы</w:t>
            </w:r>
          </w:p>
        </w:tc>
        <w:tc>
          <w:tcPr>
            <w:tcW w:w="3239" w:type="dxa"/>
            <w:vMerge w:val="restart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Исполнители</w:t>
            </w:r>
          </w:p>
        </w:tc>
        <w:tc>
          <w:tcPr>
            <w:tcW w:w="4989" w:type="dxa"/>
            <w:gridSpan w:val="4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 xml:space="preserve">Объем финансирования из </w:t>
            </w:r>
            <w:r>
              <w:t>местного</w:t>
            </w:r>
            <w:r w:rsidRPr="00896313">
              <w:t xml:space="preserve"> бюджета, тыс. руб.</w:t>
            </w:r>
          </w:p>
        </w:tc>
      </w:tr>
      <w:tr w:rsidR="00A646B6" w:rsidRPr="00896313" w:rsidTr="000874B3">
        <w:trPr>
          <w:trHeight w:val="685"/>
        </w:trPr>
        <w:tc>
          <w:tcPr>
            <w:tcW w:w="635" w:type="dxa"/>
            <w:vMerge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1" w:type="dxa"/>
            <w:vMerge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9" w:type="dxa"/>
            <w:vMerge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Всего</w:t>
            </w:r>
          </w:p>
        </w:tc>
        <w:tc>
          <w:tcPr>
            <w:tcW w:w="1260" w:type="dxa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896313">
              <w:t>201</w:t>
            </w:r>
            <w:r>
              <w:t>1</w:t>
            </w:r>
            <w:r w:rsidRPr="00896313">
              <w:t xml:space="preserve"> год</w:t>
            </w:r>
          </w:p>
        </w:tc>
        <w:tc>
          <w:tcPr>
            <w:tcW w:w="1266" w:type="dxa"/>
            <w:vAlign w:val="center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2</w:t>
            </w:r>
            <w:r w:rsidRPr="00896313">
              <w:t xml:space="preserve"> год</w:t>
            </w:r>
          </w:p>
        </w:tc>
        <w:tc>
          <w:tcPr>
            <w:tcW w:w="1203" w:type="dxa"/>
            <w:vAlign w:val="center"/>
          </w:tcPr>
          <w:p w:rsidR="00A646B6" w:rsidRDefault="00A646B6" w:rsidP="002C6A92"/>
          <w:p w:rsidR="00A646B6" w:rsidRDefault="00A646B6" w:rsidP="002C6A92">
            <w:r>
              <w:t>2013 год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</w:p>
        </w:tc>
      </w:tr>
      <w:tr w:rsidR="00A646B6" w:rsidRPr="00896313" w:rsidTr="000874B3">
        <w:tc>
          <w:tcPr>
            <w:tcW w:w="13221" w:type="dxa"/>
            <w:gridSpan w:val="7"/>
          </w:tcPr>
          <w:p w:rsidR="00A646B6" w:rsidRPr="00896313" w:rsidRDefault="00A646B6" w:rsidP="000874B3">
            <w:pPr>
              <w:jc w:val="center"/>
            </w:pPr>
            <w:r w:rsidRPr="000874B3">
              <w:rPr>
                <w:lang w:val="en-US"/>
              </w:rPr>
              <w:t>I</w:t>
            </w:r>
            <w:r w:rsidRPr="00896313">
              <w:t xml:space="preserve"> Развитие системы финансовой поддержки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</w:p>
        </w:tc>
      </w:tr>
      <w:tr w:rsidR="00A646B6" w:rsidRPr="00896313" w:rsidTr="000874B3">
        <w:trPr>
          <w:trHeight w:val="948"/>
        </w:trPr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  <w:r w:rsidRPr="00896313">
              <w:t>1.1</w:t>
            </w:r>
          </w:p>
        </w:tc>
        <w:tc>
          <w:tcPr>
            <w:tcW w:w="3761" w:type="dxa"/>
          </w:tcPr>
          <w:p w:rsidR="00A646B6" w:rsidRDefault="00A646B6" w:rsidP="000874B3">
            <w:pPr>
              <w:autoSpaceDE w:val="0"/>
              <w:autoSpaceDN w:val="0"/>
              <w:adjustRightInd w:val="0"/>
            </w:pPr>
            <w:r w:rsidRPr="00896313">
              <w:t>Выделение субсидии КФХ</w:t>
            </w:r>
            <w:r>
              <w:t xml:space="preserve"> , в том числе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1 –</w:t>
            </w:r>
            <w:r w:rsidRPr="00896313">
              <w:t xml:space="preserve"> 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>
              <w:t>900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>
              <w:t>300</w:t>
            </w:r>
          </w:p>
        </w:tc>
        <w:tc>
          <w:tcPr>
            <w:tcW w:w="1266" w:type="dxa"/>
          </w:tcPr>
          <w:p w:rsidR="00A646B6" w:rsidRPr="00896313" w:rsidRDefault="00A646B6" w:rsidP="000874B3">
            <w:pPr>
              <w:jc w:val="center"/>
            </w:pPr>
            <w:r>
              <w:t>300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  <w:r>
              <w:t>300</w:t>
            </w:r>
          </w:p>
        </w:tc>
      </w:tr>
      <w:tr w:rsidR="00A646B6" w:rsidRPr="00896313" w:rsidTr="000874B3">
        <w:trPr>
          <w:trHeight w:val="1247"/>
        </w:trPr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1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 xml:space="preserve">на приобретение </w:t>
            </w:r>
            <w:r>
              <w:t>сельскохозяйственной 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1 –</w:t>
            </w:r>
            <w:r w:rsidRPr="00896313">
              <w:t xml:space="preserve"> 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6" w:type="dxa"/>
          </w:tcPr>
          <w:p w:rsidR="00A646B6" w:rsidRPr="00896313" w:rsidRDefault="00A646B6" w:rsidP="002C6A92"/>
        </w:tc>
        <w:tc>
          <w:tcPr>
            <w:tcW w:w="1203" w:type="dxa"/>
          </w:tcPr>
          <w:p w:rsidR="00A646B6" w:rsidRDefault="00A646B6" w:rsidP="002C6A92"/>
        </w:tc>
      </w:tr>
      <w:tr w:rsidR="00A646B6" w:rsidRPr="00896313" w:rsidTr="000874B3"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1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>
              <w:t>на строительство и ремонт животноводческих помещений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1 –</w:t>
            </w:r>
            <w:r w:rsidRPr="00896313">
              <w:t xml:space="preserve"> 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</w:p>
        </w:tc>
        <w:tc>
          <w:tcPr>
            <w:tcW w:w="1203" w:type="dxa"/>
          </w:tcPr>
          <w:p w:rsidR="00A646B6" w:rsidRDefault="00A646B6" w:rsidP="002C6A92"/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</w:p>
        </w:tc>
      </w:tr>
      <w:tr w:rsidR="00A646B6" w:rsidRPr="00896313" w:rsidTr="000874B3"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1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>
              <w:t>на приобретение минеральных удобрений, семян зерновых культур высоких репродукций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1 –</w:t>
            </w:r>
            <w:r w:rsidRPr="00896313">
              <w:t xml:space="preserve"> 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6" w:type="dxa"/>
          </w:tcPr>
          <w:p w:rsidR="00A646B6" w:rsidRPr="00896313" w:rsidRDefault="00A646B6" w:rsidP="002C6A92"/>
        </w:tc>
        <w:tc>
          <w:tcPr>
            <w:tcW w:w="1203" w:type="dxa"/>
          </w:tcPr>
          <w:p w:rsidR="00A646B6" w:rsidRPr="00896313" w:rsidRDefault="00A646B6" w:rsidP="002C6A92"/>
        </w:tc>
      </w:tr>
      <w:tr w:rsidR="00A646B6" w:rsidRPr="00896313" w:rsidTr="000874B3">
        <w:trPr>
          <w:trHeight w:val="720"/>
        </w:trPr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1" w:type="dxa"/>
          </w:tcPr>
          <w:p w:rsidR="00A646B6" w:rsidRDefault="00A646B6" w:rsidP="000874B3">
            <w:pPr>
              <w:autoSpaceDE w:val="0"/>
              <w:autoSpaceDN w:val="0"/>
              <w:adjustRightInd w:val="0"/>
            </w:pPr>
            <w:r>
              <w:t>на приобретение сельскохозяйственных животных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>1 –</w:t>
            </w:r>
            <w:r w:rsidRPr="00896313">
              <w:t xml:space="preserve"> 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66" w:type="dxa"/>
          </w:tcPr>
          <w:p w:rsidR="00A646B6" w:rsidRPr="00896313" w:rsidRDefault="00A646B6" w:rsidP="000874B3">
            <w:pPr>
              <w:jc w:val="center"/>
            </w:pP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</w:p>
        </w:tc>
      </w:tr>
      <w:tr w:rsidR="00A646B6" w:rsidRPr="00896313" w:rsidTr="000874B3">
        <w:trPr>
          <w:trHeight w:val="667"/>
        </w:trPr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761" w:type="dxa"/>
          </w:tcPr>
          <w:p w:rsidR="00A646B6" w:rsidRDefault="00A646B6" w:rsidP="000874B3">
            <w:pPr>
              <w:autoSpaceDE w:val="0"/>
              <w:autoSpaceDN w:val="0"/>
              <w:adjustRightInd w:val="0"/>
            </w:pPr>
            <w:r>
              <w:t>Мероприятия в области сельскохозяйственного производства (мероприятия в день работников сельского хозяйства)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>
              <w:t>2011 – 2013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администрация Невьянского городского округа</w:t>
            </w:r>
          </w:p>
          <w:p w:rsidR="00A646B6" w:rsidRPr="00896313" w:rsidRDefault="00A646B6" w:rsidP="002C6A92"/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>
              <w:t>30</w:t>
            </w:r>
          </w:p>
        </w:tc>
        <w:tc>
          <w:tcPr>
            <w:tcW w:w="1266" w:type="dxa"/>
          </w:tcPr>
          <w:p w:rsidR="00A646B6" w:rsidRPr="00896313" w:rsidRDefault="00A646B6" w:rsidP="000874B3">
            <w:pPr>
              <w:jc w:val="center"/>
            </w:pPr>
            <w:r>
              <w:t>40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  <w:r>
              <w:t>50</w:t>
            </w:r>
          </w:p>
        </w:tc>
      </w:tr>
      <w:tr w:rsidR="00A646B6" w:rsidRPr="00896313" w:rsidTr="000874B3">
        <w:tc>
          <w:tcPr>
            <w:tcW w:w="13221" w:type="dxa"/>
            <w:gridSpan w:val="7"/>
          </w:tcPr>
          <w:p w:rsidR="00A646B6" w:rsidRPr="00896313" w:rsidRDefault="00A646B6" w:rsidP="000874B3">
            <w:pPr>
              <w:jc w:val="center"/>
            </w:pPr>
            <w:r w:rsidRPr="000874B3">
              <w:rPr>
                <w:lang w:val="en-US"/>
              </w:rPr>
              <w:t>II</w:t>
            </w:r>
            <w:r w:rsidRPr="00896313">
              <w:t xml:space="preserve"> Информационная, методическая и организационная поддержка КФХ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</w:p>
        </w:tc>
      </w:tr>
      <w:tr w:rsidR="00A646B6" w:rsidRPr="00896313" w:rsidTr="000874B3"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896313">
              <w:t>1</w:t>
            </w:r>
          </w:p>
        </w:tc>
        <w:tc>
          <w:tcPr>
            <w:tcW w:w="3761" w:type="dxa"/>
          </w:tcPr>
          <w:p w:rsidR="00A646B6" w:rsidRPr="000874B3" w:rsidRDefault="00A646B6" w:rsidP="002C6A92">
            <w:pPr>
              <w:rPr>
                <w:b/>
              </w:rPr>
            </w:pPr>
            <w:r w:rsidRPr="00896313">
              <w:t xml:space="preserve">Консультационная помощь по вопросам возможности участия в программах </w:t>
            </w:r>
            <w:r>
              <w:t>Фонда «Невьянский фонд поддержки малого предпринимательства»</w:t>
            </w:r>
            <w:r w:rsidRPr="00896313">
              <w:t xml:space="preserve"> и </w:t>
            </w:r>
            <w:r>
              <w:t>государственного учреждения занятости населения Свердловской области «Невьянский центр занятости»</w:t>
            </w:r>
            <w:r w:rsidRPr="00896313">
              <w:t xml:space="preserve"> (предоставление поручительства, грантовая помощь, микрофинансирование)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</w:p>
          <w:p w:rsidR="00A646B6" w:rsidRDefault="00A646B6" w:rsidP="000874B3">
            <w:pPr>
              <w:autoSpaceDE w:val="0"/>
              <w:autoSpaceDN w:val="0"/>
              <w:adjustRightInd w:val="0"/>
              <w:jc w:val="both"/>
            </w:pPr>
            <w:r w:rsidRPr="00896313">
              <w:t>201</w:t>
            </w:r>
            <w:r>
              <w:t xml:space="preserve">1 </w:t>
            </w:r>
            <w:r w:rsidRPr="00896313">
              <w:t>-</w:t>
            </w:r>
          </w:p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>
              <w:t>2013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фонд «Невьянский фонд поддержки малого предпринимательства» (по согласованию), государственное учреждение занятости населения Свердловской области «Невьянский центр занятости» (по согласованию)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66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  <w:r>
              <w:t>-</w:t>
            </w:r>
          </w:p>
        </w:tc>
      </w:tr>
      <w:tr w:rsidR="00A646B6" w:rsidRPr="00896313" w:rsidTr="000874B3">
        <w:tc>
          <w:tcPr>
            <w:tcW w:w="635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3761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 xml:space="preserve">Подведение итогов работы </w:t>
            </w:r>
            <w:r>
              <w:t>КФХ</w:t>
            </w:r>
          </w:p>
        </w:tc>
        <w:tc>
          <w:tcPr>
            <w:tcW w:w="1800" w:type="dxa"/>
          </w:tcPr>
          <w:p w:rsidR="00A646B6" w:rsidRPr="00896313" w:rsidRDefault="00A646B6" w:rsidP="000874B3">
            <w:pPr>
              <w:autoSpaceDE w:val="0"/>
              <w:autoSpaceDN w:val="0"/>
              <w:adjustRightInd w:val="0"/>
            </w:pPr>
            <w:r w:rsidRPr="00896313">
              <w:t>201</w:t>
            </w:r>
            <w:r>
              <w:t xml:space="preserve">1 – </w:t>
            </w:r>
            <w:r w:rsidRPr="00896313">
              <w:t>201</w:t>
            </w:r>
            <w:r>
              <w:t>3 годы</w:t>
            </w:r>
          </w:p>
        </w:tc>
        <w:tc>
          <w:tcPr>
            <w:tcW w:w="3239" w:type="dxa"/>
          </w:tcPr>
          <w:p w:rsidR="00A646B6" w:rsidRPr="00896313" w:rsidRDefault="00A646B6" w:rsidP="002C6A92">
            <w:r>
              <w:t>Территориальный отдел исполнительного органа власти Свердловской области Пригородного управления сельского хозяйства и продовольствия Свердловской области (по согласованию)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60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66" w:type="dxa"/>
          </w:tcPr>
          <w:p w:rsidR="00A646B6" w:rsidRPr="00896313" w:rsidRDefault="00A646B6" w:rsidP="000874B3">
            <w:pPr>
              <w:jc w:val="center"/>
            </w:pPr>
            <w:r w:rsidRPr="00896313">
              <w:t>-</w:t>
            </w:r>
          </w:p>
        </w:tc>
        <w:tc>
          <w:tcPr>
            <w:tcW w:w="1203" w:type="dxa"/>
          </w:tcPr>
          <w:p w:rsidR="00A646B6" w:rsidRPr="00896313" w:rsidRDefault="00A646B6" w:rsidP="000874B3">
            <w:pPr>
              <w:jc w:val="center"/>
            </w:pPr>
          </w:p>
        </w:tc>
      </w:tr>
      <w:tr w:rsidR="00A646B6" w:rsidRPr="00946E1B" w:rsidTr="000874B3">
        <w:tc>
          <w:tcPr>
            <w:tcW w:w="9435" w:type="dxa"/>
            <w:gridSpan w:val="4"/>
          </w:tcPr>
          <w:p w:rsidR="00A646B6" w:rsidRPr="00946E1B" w:rsidRDefault="00A646B6" w:rsidP="000874B3">
            <w:pPr>
              <w:jc w:val="center"/>
            </w:pPr>
            <w:r w:rsidRPr="00946E1B">
              <w:t>Итого по Программе:</w:t>
            </w:r>
          </w:p>
        </w:tc>
        <w:tc>
          <w:tcPr>
            <w:tcW w:w="1260" w:type="dxa"/>
          </w:tcPr>
          <w:p w:rsidR="00A646B6" w:rsidRPr="00946E1B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946E1B">
              <w:t>10</w:t>
            </w:r>
            <w:r>
              <w:t>2</w:t>
            </w:r>
            <w:r w:rsidRPr="00946E1B">
              <w:t>0</w:t>
            </w:r>
          </w:p>
        </w:tc>
        <w:tc>
          <w:tcPr>
            <w:tcW w:w="1260" w:type="dxa"/>
          </w:tcPr>
          <w:p w:rsidR="00A646B6" w:rsidRPr="00946E1B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946E1B">
              <w:t>330</w:t>
            </w:r>
          </w:p>
        </w:tc>
        <w:tc>
          <w:tcPr>
            <w:tcW w:w="1264" w:type="dxa"/>
          </w:tcPr>
          <w:p w:rsidR="00A646B6" w:rsidRPr="00946E1B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946E1B">
              <w:t>3</w:t>
            </w:r>
            <w:r>
              <w:t>4</w:t>
            </w:r>
            <w:r w:rsidRPr="00946E1B">
              <w:t>0</w:t>
            </w:r>
          </w:p>
        </w:tc>
        <w:tc>
          <w:tcPr>
            <w:tcW w:w="1205" w:type="dxa"/>
          </w:tcPr>
          <w:p w:rsidR="00A646B6" w:rsidRPr="00946E1B" w:rsidRDefault="00A646B6" w:rsidP="000874B3">
            <w:pPr>
              <w:autoSpaceDE w:val="0"/>
              <w:autoSpaceDN w:val="0"/>
              <w:adjustRightInd w:val="0"/>
              <w:jc w:val="center"/>
            </w:pPr>
            <w:r w:rsidRPr="00946E1B">
              <w:t>350</w:t>
            </w:r>
          </w:p>
        </w:tc>
      </w:tr>
    </w:tbl>
    <w:p w:rsidR="00A646B6" w:rsidRDefault="00A646B6" w:rsidP="004C082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46B6" w:rsidRDefault="00A646B6" w:rsidP="004C0825">
      <w:pPr>
        <w:autoSpaceDE w:val="0"/>
        <w:autoSpaceDN w:val="0"/>
        <w:adjustRightInd w:val="0"/>
        <w:ind w:firstLine="540"/>
        <w:jc w:val="both"/>
      </w:pPr>
    </w:p>
    <w:p w:rsidR="00A646B6" w:rsidRDefault="00A646B6" w:rsidP="004C0825">
      <w:pPr>
        <w:autoSpaceDE w:val="0"/>
        <w:autoSpaceDN w:val="0"/>
        <w:adjustRightInd w:val="0"/>
        <w:ind w:firstLine="540"/>
        <w:jc w:val="both"/>
      </w:pPr>
    </w:p>
    <w:p w:rsidR="00A646B6" w:rsidRDefault="00A646B6" w:rsidP="004C0825">
      <w:pPr>
        <w:autoSpaceDE w:val="0"/>
        <w:autoSpaceDN w:val="0"/>
        <w:adjustRightInd w:val="0"/>
        <w:ind w:firstLine="540"/>
        <w:jc w:val="both"/>
      </w:pPr>
    </w:p>
    <w:p w:rsidR="00A646B6" w:rsidRDefault="00A646B6" w:rsidP="004C0825">
      <w:pPr>
        <w:pStyle w:val="ConsPlusNonformat"/>
        <w:widowControl/>
        <w:jc w:val="both"/>
        <w:sectPr w:rsidR="00A646B6" w:rsidSect="002C6A92">
          <w:pgSz w:w="16838" w:h="11905" w:orient="landscape" w:code="9"/>
          <w:pgMar w:top="743" w:right="902" w:bottom="1259" w:left="902" w:header="720" w:footer="720" w:gutter="0"/>
          <w:cols w:space="720"/>
        </w:sectPr>
      </w:pPr>
    </w:p>
    <w:p w:rsidR="00A646B6" w:rsidRDefault="00A646B6" w:rsidP="004C0825">
      <w:pPr>
        <w:autoSpaceDE w:val="0"/>
        <w:autoSpaceDN w:val="0"/>
        <w:adjustRightInd w:val="0"/>
        <w:ind w:left="6840"/>
        <w:jc w:val="right"/>
        <w:outlineLvl w:val="1"/>
      </w:pPr>
      <w:r>
        <w:t>Приложение № 2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>
        <w:t xml:space="preserve">к муниципальной целевой программе 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>
        <w:t>"</w:t>
      </w:r>
      <w:r w:rsidRPr="002C36AE">
        <w:t xml:space="preserve">Развитие </w:t>
      </w:r>
      <w:r>
        <w:t xml:space="preserve">малых форм хозяйствования –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 w:rsidRPr="002C36AE">
        <w:t>крестьянск</w:t>
      </w:r>
      <w:r>
        <w:t>их (</w:t>
      </w:r>
      <w:r w:rsidRPr="002C36AE">
        <w:t>фермерских</w:t>
      </w:r>
      <w:r>
        <w:t>)</w:t>
      </w:r>
      <w:r w:rsidRPr="002C36AE">
        <w:t xml:space="preserve"> хозяйств </w:t>
      </w:r>
    </w:p>
    <w:p w:rsidR="00A646B6" w:rsidRDefault="00A646B6" w:rsidP="004C0825">
      <w:pPr>
        <w:autoSpaceDE w:val="0"/>
        <w:autoSpaceDN w:val="0"/>
        <w:adjustRightInd w:val="0"/>
        <w:ind w:left="6840"/>
        <w:jc w:val="right"/>
      </w:pPr>
      <w:r w:rsidRPr="002C36AE">
        <w:t xml:space="preserve">в </w:t>
      </w:r>
      <w:r>
        <w:t>Невьянском городском округе на 2011 – 2013 годы"</w:t>
      </w:r>
    </w:p>
    <w:p w:rsidR="00A646B6" w:rsidRDefault="00A646B6" w:rsidP="004C0825">
      <w:pPr>
        <w:autoSpaceDE w:val="0"/>
        <w:autoSpaceDN w:val="0"/>
        <w:adjustRightInd w:val="0"/>
        <w:jc w:val="right"/>
      </w:pPr>
    </w:p>
    <w:p w:rsidR="00A646B6" w:rsidRDefault="00A646B6" w:rsidP="004C08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6B6" w:rsidRDefault="00A646B6" w:rsidP="004C08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975">
        <w:rPr>
          <w:sz w:val="28"/>
          <w:szCs w:val="28"/>
        </w:rPr>
        <w:t>З</w:t>
      </w:r>
      <w:r>
        <w:rPr>
          <w:sz w:val="28"/>
          <w:szCs w:val="28"/>
        </w:rPr>
        <w:t>начения целевых индикаторов</w:t>
      </w:r>
    </w:p>
    <w:p w:rsidR="00A646B6" w:rsidRPr="00CF1975" w:rsidRDefault="00A646B6" w:rsidP="004C08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"/>
        <w:gridCol w:w="7583"/>
        <w:gridCol w:w="1980"/>
        <w:gridCol w:w="1260"/>
        <w:gridCol w:w="1260"/>
        <w:gridCol w:w="1260"/>
        <w:gridCol w:w="1260"/>
      </w:tblGrid>
      <w:tr w:rsidR="00A646B6" w:rsidRPr="006E3983" w:rsidTr="002C6A92">
        <w:trPr>
          <w:tblCellSpacing w:w="15" w:type="dxa"/>
        </w:trPr>
        <w:tc>
          <w:tcPr>
            <w:tcW w:w="4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t>№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п</w:t>
            </w:r>
            <w:r w:rsidRPr="006E3983">
              <w:rPr>
                <w:rFonts w:ascii="Times" w:hAnsi="Times" w:cs="Times"/>
              </w:rPr>
              <w:t>/</w:t>
            </w:r>
            <w:r w:rsidRPr="006E3983">
              <w:t>п</w:t>
            </w:r>
          </w:p>
        </w:tc>
        <w:tc>
          <w:tcPr>
            <w:tcW w:w="7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</w:pPr>
          </w:p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t>Показатель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</w:pPr>
          </w:p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t>Единица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измерения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46B6" w:rsidRDefault="00A646B6" w:rsidP="002C6A92">
            <w:pPr>
              <w:jc w:val="center"/>
            </w:pPr>
            <w:r w:rsidRPr="006E3983">
              <w:t>Динамика целевых значений индикатора</w:t>
            </w:r>
          </w:p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6B6" w:rsidRPr="006E3983" w:rsidRDefault="00A646B6" w:rsidP="002C6A92">
            <w:pPr>
              <w:rPr>
                <w:rFonts w:ascii="Times" w:hAnsi="Times" w:cs="Times"/>
              </w:rPr>
            </w:pPr>
          </w:p>
        </w:tc>
        <w:tc>
          <w:tcPr>
            <w:tcW w:w="7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6B6" w:rsidRPr="006E3983" w:rsidRDefault="00A646B6" w:rsidP="002C6A92">
            <w:pPr>
              <w:rPr>
                <w:rFonts w:ascii="Times" w:hAnsi="Times" w:cs="Times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6B6" w:rsidRPr="006E3983" w:rsidRDefault="00A646B6" w:rsidP="002C6A92">
            <w:pPr>
              <w:rPr>
                <w:rFonts w:ascii="Times" w:hAnsi="Times" w:cs="Time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2011</w:t>
            </w:r>
          </w:p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2012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A646B6" w:rsidRPr="006E3983" w:rsidRDefault="00A646B6" w:rsidP="002C6A92">
            <w:pPr>
              <w:jc w:val="center"/>
            </w:pPr>
            <w:r w:rsidRPr="006E3983">
              <w:t>201</w:t>
            </w:r>
            <w:r>
              <w:t>3</w:t>
            </w:r>
            <w:r w:rsidRPr="006E3983"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t xml:space="preserve"> </w:t>
            </w:r>
            <w:r w:rsidRPr="006E3983">
              <w:rPr>
                <w:rFonts w:ascii="Times" w:hAnsi="Times" w:cs="Times"/>
              </w:rPr>
              <w:t>201</w:t>
            </w:r>
            <w:r>
              <w:rPr>
                <w:rFonts w:cs="Times"/>
              </w:rPr>
              <w:t>3г. К 2011г. (%)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1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7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rPr>
                <w:rFonts w:ascii="Times" w:hAnsi="Times" w:cs="Times"/>
              </w:rPr>
              <w:t>1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  <w:rPr>
                <w:rFonts w:ascii="Times" w:hAnsi="Times" w:cs="Times"/>
              </w:rPr>
            </w:pPr>
            <w:r w:rsidRPr="006E3983">
              <w:t>Количество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крестьянско-фермерских хозяйств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 w:rsidRPr="006E3983">
              <w:t>ед</w:t>
            </w:r>
            <w:r w:rsidRPr="006E3983">
              <w:rPr>
                <w:rFonts w:ascii="Times" w:hAnsi="Times" w:cs="Times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0E386C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125,0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>
              <w:t>Количество работающих в КФХ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  <w:r>
              <w:t>чел.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0E386C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cs="Times"/>
              </w:rPr>
              <w:t>125,0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276A8A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3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 w:rsidRPr="006E3983">
              <w:t>Количество поголовья КРС в КФХ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  <w:r w:rsidRPr="006E3983">
              <w:t>гол.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136,4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4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>
              <w:t>Количество поголовья свиней в КФХ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  <w:r w:rsidRPr="006E3983">
              <w:t>гол.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166,7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>
              <w:t>Количество поголовья птицы в КФХ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  <w:r w:rsidRPr="006E3983">
              <w:t>гол.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128,6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276A8A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6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 w:rsidRPr="006E3983">
              <w:t xml:space="preserve">Количество вовлеченных в оборот земель сельскохозяйственного назначения КФХ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</w:p>
          <w:p w:rsidR="00A646B6" w:rsidRPr="006E3983" w:rsidRDefault="00A646B6" w:rsidP="002C6A92">
            <w:pPr>
              <w:jc w:val="center"/>
            </w:pPr>
            <w:r w:rsidRPr="006E3983">
              <w:t>га.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105,0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276A8A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10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</w:pPr>
            <w:r>
              <w:t xml:space="preserve">Рост объема реализации продукции, произведенной крестьянскими (фермерскими) хозяйствами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</w:pPr>
            <w:r>
              <w:t>в</w:t>
            </w:r>
            <w:r w:rsidRPr="006E3983">
              <w:t xml:space="preserve"> % от существующего уровня 20</w:t>
            </w:r>
            <w:r>
              <w:t>11</w:t>
            </w:r>
            <w:r w:rsidRPr="006E3983">
              <w:t xml:space="preserve"> года.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110,0</w:t>
            </w:r>
          </w:p>
        </w:tc>
      </w:tr>
      <w:tr w:rsidR="00A646B6" w:rsidRPr="006E3983" w:rsidTr="002C6A92">
        <w:trPr>
          <w:tblCellSpacing w:w="15" w:type="dxa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276A8A" w:rsidRDefault="00A646B6" w:rsidP="002C6A92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11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both"/>
              <w:rPr>
                <w:rFonts w:ascii="Times" w:hAnsi="Times" w:cs="Times"/>
              </w:rPr>
            </w:pPr>
            <w:r w:rsidRPr="006E3983">
              <w:t>Объем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инвестиций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в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основной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капитал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малых</w:t>
            </w:r>
            <w:r w:rsidRPr="006E3983">
              <w:rPr>
                <w:rFonts w:ascii="Times" w:hAnsi="Times" w:cs="Times"/>
              </w:rPr>
              <w:t xml:space="preserve"> </w:t>
            </w:r>
            <w:r w:rsidRPr="006E3983">
              <w:t>предприятий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t>тыс.</w:t>
            </w:r>
            <w:r w:rsidRPr="006E3983">
              <w:rPr>
                <w:rFonts w:ascii="Times" w:hAnsi="Times" w:cs="Times"/>
              </w:rPr>
              <w:br/>
            </w:r>
            <w:r w:rsidRPr="006E3983">
              <w:t>руб</w:t>
            </w:r>
            <w:r w:rsidRPr="006E3983">
              <w:rPr>
                <w:rFonts w:ascii="Times" w:hAnsi="Times" w:cs="Times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6B6" w:rsidRPr="006E3983" w:rsidRDefault="00A646B6" w:rsidP="002C6A92">
            <w:pPr>
              <w:jc w:val="center"/>
              <w:rPr>
                <w:rFonts w:ascii="Times" w:hAnsi="Times" w:cs="Times"/>
              </w:rPr>
            </w:pPr>
          </w:p>
        </w:tc>
      </w:tr>
    </w:tbl>
    <w:p w:rsidR="00A646B6" w:rsidRDefault="00A646B6" w:rsidP="00F37F29">
      <w:pPr>
        <w:rPr>
          <w:sz w:val="28"/>
          <w:szCs w:val="28"/>
        </w:rPr>
      </w:pPr>
    </w:p>
    <w:p w:rsidR="00A646B6" w:rsidRPr="00A14C07" w:rsidRDefault="00A646B6" w:rsidP="000206D9">
      <w:pPr>
        <w:jc w:val="right"/>
        <w:rPr>
          <w:sz w:val="28"/>
          <w:szCs w:val="28"/>
        </w:rPr>
      </w:pPr>
    </w:p>
    <w:p w:rsidR="00A646B6" w:rsidRDefault="00A646B6" w:rsidP="000206D9">
      <w:pPr>
        <w:jc w:val="right"/>
      </w:pPr>
    </w:p>
    <w:p w:rsidR="00A646B6" w:rsidRDefault="00A646B6" w:rsidP="000206D9">
      <w:pPr>
        <w:rPr>
          <w:sz w:val="28"/>
          <w:szCs w:val="28"/>
        </w:rPr>
      </w:pPr>
    </w:p>
    <w:sectPr w:rsidR="00A646B6" w:rsidSect="004C0825">
      <w:pgSz w:w="16838" w:h="11906" w:orient="landscape"/>
      <w:pgMar w:top="748" w:right="539" w:bottom="14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5B2"/>
    <w:multiLevelType w:val="hybridMultilevel"/>
    <w:tmpl w:val="E0FCB648"/>
    <w:lvl w:ilvl="0" w:tplc="9CDE91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1F7657A"/>
    <w:multiLevelType w:val="hybridMultilevel"/>
    <w:tmpl w:val="4D74C0AE"/>
    <w:lvl w:ilvl="0" w:tplc="CD48FE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9572D8"/>
    <w:multiLevelType w:val="hybridMultilevel"/>
    <w:tmpl w:val="C66A5590"/>
    <w:lvl w:ilvl="0" w:tplc="1A5483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68"/>
    <w:rsid w:val="00003AB0"/>
    <w:rsid w:val="000206D9"/>
    <w:rsid w:val="00047741"/>
    <w:rsid w:val="000874B3"/>
    <w:rsid w:val="000A4C51"/>
    <w:rsid w:val="000B3F45"/>
    <w:rsid w:val="000B6989"/>
    <w:rsid w:val="000C11B6"/>
    <w:rsid w:val="000E386C"/>
    <w:rsid w:val="000E78F7"/>
    <w:rsid w:val="000E7E2C"/>
    <w:rsid w:val="00101EC7"/>
    <w:rsid w:val="00125837"/>
    <w:rsid w:val="0014761A"/>
    <w:rsid w:val="001D46E0"/>
    <w:rsid w:val="00204D2B"/>
    <w:rsid w:val="00210185"/>
    <w:rsid w:val="002414E2"/>
    <w:rsid w:val="002627B6"/>
    <w:rsid w:val="002653AD"/>
    <w:rsid w:val="00276A8A"/>
    <w:rsid w:val="00282DB6"/>
    <w:rsid w:val="002C36AE"/>
    <w:rsid w:val="002C6A92"/>
    <w:rsid w:val="002D19F3"/>
    <w:rsid w:val="00311768"/>
    <w:rsid w:val="00315077"/>
    <w:rsid w:val="00335DC9"/>
    <w:rsid w:val="00354356"/>
    <w:rsid w:val="00354D60"/>
    <w:rsid w:val="00385DBD"/>
    <w:rsid w:val="003C5203"/>
    <w:rsid w:val="003C648D"/>
    <w:rsid w:val="003F118B"/>
    <w:rsid w:val="004024DC"/>
    <w:rsid w:val="00407537"/>
    <w:rsid w:val="00417E1C"/>
    <w:rsid w:val="00447B3C"/>
    <w:rsid w:val="004C0825"/>
    <w:rsid w:val="005764F8"/>
    <w:rsid w:val="005938BC"/>
    <w:rsid w:val="005D0229"/>
    <w:rsid w:val="005E13AA"/>
    <w:rsid w:val="00607BE8"/>
    <w:rsid w:val="00616612"/>
    <w:rsid w:val="006C6A77"/>
    <w:rsid w:val="006E3983"/>
    <w:rsid w:val="006E566E"/>
    <w:rsid w:val="006F09F2"/>
    <w:rsid w:val="006F256D"/>
    <w:rsid w:val="00764E6A"/>
    <w:rsid w:val="007730BB"/>
    <w:rsid w:val="007F65DA"/>
    <w:rsid w:val="00816877"/>
    <w:rsid w:val="00821EE5"/>
    <w:rsid w:val="00896313"/>
    <w:rsid w:val="008D47D8"/>
    <w:rsid w:val="00926250"/>
    <w:rsid w:val="0093317B"/>
    <w:rsid w:val="00944AED"/>
    <w:rsid w:val="00946E1B"/>
    <w:rsid w:val="00953EF5"/>
    <w:rsid w:val="00960502"/>
    <w:rsid w:val="009A5740"/>
    <w:rsid w:val="009D4853"/>
    <w:rsid w:val="009E16FC"/>
    <w:rsid w:val="009E3A1D"/>
    <w:rsid w:val="009F57AF"/>
    <w:rsid w:val="00A14C07"/>
    <w:rsid w:val="00A5366E"/>
    <w:rsid w:val="00A646B6"/>
    <w:rsid w:val="00A72E1F"/>
    <w:rsid w:val="00A82050"/>
    <w:rsid w:val="00B028AE"/>
    <w:rsid w:val="00B05C6E"/>
    <w:rsid w:val="00B522BE"/>
    <w:rsid w:val="00BA00A6"/>
    <w:rsid w:val="00BE0E53"/>
    <w:rsid w:val="00BE6EA3"/>
    <w:rsid w:val="00C23A86"/>
    <w:rsid w:val="00C97ED9"/>
    <w:rsid w:val="00CB246D"/>
    <w:rsid w:val="00CC1D5B"/>
    <w:rsid w:val="00CF1975"/>
    <w:rsid w:val="00D23A69"/>
    <w:rsid w:val="00D273EE"/>
    <w:rsid w:val="00D93F2E"/>
    <w:rsid w:val="00DC7627"/>
    <w:rsid w:val="00DF01D0"/>
    <w:rsid w:val="00E3666C"/>
    <w:rsid w:val="00E4006C"/>
    <w:rsid w:val="00F04538"/>
    <w:rsid w:val="00F37F29"/>
    <w:rsid w:val="00F40E94"/>
    <w:rsid w:val="00F50B6C"/>
    <w:rsid w:val="00F840A0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AED"/>
    <w:pPr>
      <w:keepNext/>
      <w:spacing w:line="211" w:lineRule="auto"/>
      <w:jc w:val="both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D02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E78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4D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C0825"/>
    <w:pPr>
      <w:ind w:left="72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C082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4C0825"/>
    <w:pPr>
      <w:spacing w:before="144" w:after="144"/>
    </w:pPr>
  </w:style>
  <w:style w:type="table" w:styleId="TableGrid">
    <w:name w:val="Table Grid"/>
    <w:basedOn w:val="TableNormal"/>
    <w:uiPriority w:val="99"/>
    <w:rsid w:val="004C0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1881</Words>
  <Characters>10722</Characters>
  <Application>Microsoft Office Outlook</Application>
  <DocSecurity>0</DocSecurity>
  <Lines>0</Lines>
  <Paragraphs>0</Paragraphs>
  <ScaleCrop>false</ScaleCrop>
  <Company>ADNGO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kraevga</dc:creator>
  <cp:keywords/>
  <dc:description/>
  <cp:lastModifiedBy>Ludmila V. Sobolevskaya</cp:lastModifiedBy>
  <cp:revision>4</cp:revision>
  <cp:lastPrinted>2011-09-29T04:35:00Z</cp:lastPrinted>
  <dcterms:created xsi:type="dcterms:W3CDTF">2011-10-07T02:36:00Z</dcterms:created>
  <dcterms:modified xsi:type="dcterms:W3CDTF">2011-12-28T05:49:00Z</dcterms:modified>
</cp:coreProperties>
</file>