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0" w:rsidRPr="006D4750" w:rsidRDefault="006D4750" w:rsidP="006D4750">
      <w:pPr>
        <w:rPr>
          <w:vanish/>
        </w:rPr>
      </w:pPr>
    </w:p>
    <w:tbl>
      <w:tblPr>
        <w:tblW w:w="9889" w:type="dxa"/>
        <w:tblLook w:val="04A0" w:firstRow="1" w:lastRow="0" w:firstColumn="1" w:lastColumn="0" w:noHBand="0" w:noVBand="1"/>
      </w:tblPr>
      <w:tblGrid>
        <w:gridCol w:w="528"/>
        <w:gridCol w:w="2445"/>
        <w:gridCol w:w="1690"/>
        <w:gridCol w:w="2350"/>
        <w:gridCol w:w="2876"/>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A61FD8" w:rsidP="006D7001">
            <w:pPr>
              <w:spacing w:before="240"/>
              <w:rPr>
                <w:rFonts w:ascii="Liberation Serif" w:hAnsi="Liberation Serif"/>
                <w:sz w:val="24"/>
                <w:szCs w:val="24"/>
              </w:rPr>
            </w:pPr>
            <w:r>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[ДатаРегистрации]</w:t>
            </w:r>
            <w:r>
              <w:rPr>
                <w:rFonts w:ascii="Liberation Serif" w:hAnsi="Liberation Serif"/>
                <w:sz w:val="24"/>
                <w:szCs w:val="24"/>
              </w:rPr>
              <w:fldChar w:fldCharType="end"/>
            </w:r>
            <w:bookmarkEnd w:id="0"/>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A61FD8" w:rsidP="00A61FD8">
            <w:pPr>
              <w:spacing w:before="240"/>
              <w:rPr>
                <w:rFonts w:ascii="Liberation Serif" w:hAnsi="Liberation Serif"/>
                <w:sz w:val="24"/>
                <w:szCs w:val="24"/>
              </w:rPr>
            </w:pPr>
            <w:r>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[РегистрационныйНомер]</w:t>
            </w:r>
            <w:r>
              <w:rPr>
                <w:rFonts w:ascii="Liberation Serif" w:hAnsi="Liberation Serif"/>
                <w:sz w:val="24"/>
                <w:szCs w:val="24"/>
              </w:rPr>
              <w:fldChar w:fldCharType="end"/>
            </w:r>
            <w:bookmarkEnd w:id="1"/>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0D6CEA" w:rsidRPr="00723DAE" w:rsidRDefault="00124278" w:rsidP="000D6CEA">
      <w:pPr>
        <w:jc w:val="center"/>
        <w:rPr>
          <w:rFonts w:ascii="Liberation Serif" w:hAnsi="Liberation Serif"/>
          <w:b/>
          <w:sz w:val="26"/>
          <w:szCs w:val="26"/>
        </w:rPr>
      </w:pPr>
      <w:r w:rsidRPr="00723DAE">
        <w:rPr>
          <w:rFonts w:ascii="Liberation Serif" w:hAnsi="Liberation Serif"/>
          <w:b/>
          <w:sz w:val="26"/>
          <w:szCs w:val="26"/>
        </w:rPr>
        <w:fldChar w:fldCharType="begin">
          <w:ffData>
            <w:name w:val="Содержание"/>
            <w:enabled/>
            <w:calcOnExit w:val="0"/>
            <w:textInput>
              <w:default w:val="Заголовок"/>
            </w:textInput>
          </w:ffData>
        </w:fldChar>
      </w:r>
      <w:bookmarkStart w:id="2" w:name="Содержание"/>
      <w:r w:rsidRPr="00723DAE">
        <w:rPr>
          <w:rFonts w:ascii="Liberation Serif" w:hAnsi="Liberation Serif"/>
          <w:b/>
          <w:sz w:val="26"/>
          <w:szCs w:val="26"/>
        </w:rPr>
        <w:instrText xml:space="preserve"> FORMTEXT </w:instrText>
      </w:r>
      <w:r w:rsidRPr="00723DAE">
        <w:rPr>
          <w:rFonts w:ascii="Liberation Serif" w:hAnsi="Liberation Serif"/>
          <w:b/>
          <w:sz w:val="26"/>
          <w:szCs w:val="26"/>
        </w:rPr>
      </w:r>
      <w:r w:rsidRPr="00723DAE">
        <w:rPr>
          <w:rFonts w:ascii="Liberation Serif" w:hAnsi="Liberation Serif"/>
          <w:b/>
          <w:sz w:val="26"/>
          <w:szCs w:val="26"/>
        </w:rPr>
        <w:fldChar w:fldCharType="separate"/>
      </w:r>
      <w:r w:rsidRPr="00723DAE">
        <w:rPr>
          <w:rFonts w:ascii="Liberation Serif" w:hAnsi="Liberation Serif"/>
          <w:b/>
          <w:noProof/>
          <w:sz w:val="26"/>
          <w:szCs w:val="26"/>
        </w:rPr>
        <w:t>О внесении изменений в Условия размещения нестационарных торговых объектов на территории Невьянского городского округа, утвержденные решением Думы Невьянского городского округа от 26.06.2019 № 67</w:t>
      </w:r>
      <w:r w:rsidRPr="00723DAE">
        <w:rPr>
          <w:rFonts w:ascii="Liberation Serif" w:hAnsi="Liberation Serif"/>
          <w:b/>
          <w:sz w:val="26"/>
          <w:szCs w:val="26"/>
        </w:rPr>
        <w:fldChar w:fldCharType="end"/>
      </w:r>
      <w:bookmarkEnd w:id="2"/>
    </w:p>
    <w:p w:rsidR="007E056E" w:rsidRPr="00723DAE" w:rsidRDefault="007E056E" w:rsidP="007E056E">
      <w:pPr>
        <w:ind w:right="-185"/>
        <w:jc w:val="center"/>
        <w:rPr>
          <w:rFonts w:ascii="Liberation Serif" w:hAnsi="Liberation Serif"/>
          <w:sz w:val="26"/>
          <w:szCs w:val="26"/>
        </w:rPr>
      </w:pPr>
    </w:p>
    <w:p w:rsidR="007E056E" w:rsidRPr="00723DAE" w:rsidRDefault="007E056E" w:rsidP="0064566C">
      <w:pPr>
        <w:spacing w:after="360"/>
        <w:ind w:right="-187"/>
        <w:jc w:val="both"/>
        <w:rPr>
          <w:rFonts w:ascii="Liberation Serif" w:hAnsi="Liberation Serif"/>
          <w:b/>
          <w:sz w:val="26"/>
          <w:szCs w:val="26"/>
        </w:rPr>
      </w:pPr>
      <w:r w:rsidRPr="00723DAE">
        <w:rPr>
          <w:rFonts w:ascii="Liberation Serif" w:hAnsi="Liberation Serif"/>
          <w:b/>
          <w:sz w:val="26"/>
          <w:szCs w:val="26"/>
        </w:rPr>
        <w:t>РЕШИЛА:</w:t>
      </w:r>
    </w:p>
    <w:p w:rsidR="00723DAE" w:rsidRPr="00723DAE" w:rsidRDefault="00723DAE" w:rsidP="00723DAE">
      <w:pPr>
        <w:ind w:right="6" w:firstLine="567"/>
        <w:jc w:val="both"/>
        <w:rPr>
          <w:rFonts w:ascii="Liberation Serif" w:hAnsi="Liberation Serif"/>
          <w:bCs/>
          <w:sz w:val="26"/>
          <w:szCs w:val="26"/>
        </w:rPr>
      </w:pPr>
      <w:r w:rsidRPr="00723DAE">
        <w:rPr>
          <w:rFonts w:ascii="Liberation Serif" w:hAnsi="Liberation Serif"/>
          <w:bCs/>
          <w:sz w:val="26"/>
          <w:szCs w:val="26"/>
        </w:rPr>
        <w:t>Рассмотрев приказ Министерства по управлению государственным имуществом Свердловской области от 21.11.2022 № 5500 «Об утверждении результатов определения кадастровой стоимости земельных участков, расположенных на территории Свердловской области», руководствуясь подпунктом 12 пункта 3 статьи 23 Устава Невьянского городского округа, Дума Невьянского городского округа</w:t>
      </w:r>
    </w:p>
    <w:p w:rsidR="00723DAE" w:rsidRPr="00723DAE" w:rsidRDefault="00723DAE" w:rsidP="00723DAE">
      <w:pPr>
        <w:ind w:right="6"/>
        <w:jc w:val="both"/>
        <w:rPr>
          <w:rFonts w:ascii="Liberation Serif" w:hAnsi="Liberation Serif"/>
          <w:sz w:val="26"/>
          <w:szCs w:val="26"/>
        </w:rPr>
      </w:pPr>
    </w:p>
    <w:p w:rsidR="00723DAE" w:rsidRPr="00723DAE" w:rsidRDefault="00723DAE" w:rsidP="00723DAE">
      <w:pPr>
        <w:ind w:right="6"/>
        <w:jc w:val="both"/>
        <w:rPr>
          <w:rFonts w:ascii="Liberation Serif" w:hAnsi="Liberation Serif"/>
          <w:b/>
          <w:sz w:val="26"/>
          <w:szCs w:val="26"/>
        </w:rPr>
      </w:pPr>
      <w:r w:rsidRPr="00723DAE">
        <w:rPr>
          <w:rFonts w:ascii="Liberation Serif" w:hAnsi="Liberation Serif"/>
          <w:b/>
          <w:sz w:val="26"/>
          <w:szCs w:val="26"/>
        </w:rPr>
        <w:t>РЕШИЛА:</w:t>
      </w:r>
    </w:p>
    <w:p w:rsidR="00723DAE" w:rsidRPr="00723DAE" w:rsidRDefault="00723DAE" w:rsidP="00723DAE">
      <w:pPr>
        <w:ind w:right="6"/>
        <w:jc w:val="both"/>
        <w:rPr>
          <w:rFonts w:ascii="Liberation Serif" w:hAnsi="Liberation Serif"/>
          <w:b/>
          <w:sz w:val="26"/>
          <w:szCs w:val="26"/>
        </w:rPr>
      </w:pPr>
    </w:p>
    <w:p w:rsidR="009C13EF"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 xml:space="preserve">Внести следующие изменения в </w:t>
      </w:r>
      <w:r w:rsidR="00393104">
        <w:rPr>
          <w:rFonts w:ascii="Liberation Serif" w:hAnsi="Liberation Serif"/>
          <w:sz w:val="26"/>
          <w:szCs w:val="26"/>
        </w:rPr>
        <w:t>Условия</w:t>
      </w:r>
      <w:r w:rsidR="00393104" w:rsidRPr="00723DAE">
        <w:rPr>
          <w:rFonts w:ascii="Liberation Serif" w:hAnsi="Liberation Serif"/>
          <w:sz w:val="26"/>
          <w:szCs w:val="26"/>
        </w:rPr>
        <w:t xml:space="preserve"> размещения нестационарных торговых объектов на территории Невьянского</w:t>
      </w:r>
      <w:r w:rsidR="00393104">
        <w:rPr>
          <w:rFonts w:ascii="Liberation Serif" w:hAnsi="Liberation Serif"/>
          <w:sz w:val="26"/>
          <w:szCs w:val="26"/>
        </w:rPr>
        <w:t xml:space="preserve"> городского округа, утвержденные</w:t>
      </w:r>
      <w:r w:rsidR="00393104" w:rsidRPr="00723DAE">
        <w:rPr>
          <w:rFonts w:ascii="Liberation Serif" w:hAnsi="Liberation Serif"/>
          <w:sz w:val="26"/>
          <w:szCs w:val="26"/>
        </w:rPr>
        <w:t xml:space="preserve"> решением Думы Невьянского городского округа от 26.06.2019 № 67 «Об утверждении Условий размещения нестационарных торговых объектов на территории Невьянского городского округа»</w:t>
      </w:r>
      <w:r w:rsidR="00393104">
        <w:rPr>
          <w:rFonts w:ascii="Liberation Serif" w:hAnsi="Liberation Serif"/>
          <w:sz w:val="26"/>
          <w:szCs w:val="26"/>
        </w:rPr>
        <w:t>:</w:t>
      </w:r>
    </w:p>
    <w:p w:rsidR="00723DAE" w:rsidRPr="00723DAE" w:rsidRDefault="00393104" w:rsidP="009C13EF">
      <w:pPr>
        <w:ind w:right="6" w:firstLine="567"/>
        <w:jc w:val="both"/>
        <w:rPr>
          <w:rFonts w:ascii="Liberation Serif" w:hAnsi="Liberation Serif"/>
          <w:sz w:val="26"/>
          <w:szCs w:val="26"/>
        </w:rPr>
      </w:pPr>
      <w:r>
        <w:rPr>
          <w:rFonts w:ascii="Liberation Serif" w:hAnsi="Liberation Serif"/>
          <w:sz w:val="26"/>
          <w:szCs w:val="26"/>
        </w:rPr>
        <w:t xml:space="preserve"> в приложении </w:t>
      </w:r>
      <w:r w:rsidR="00723DAE" w:rsidRPr="00723DAE">
        <w:rPr>
          <w:rFonts w:ascii="Liberation Serif" w:hAnsi="Liberation Serif"/>
          <w:sz w:val="26"/>
          <w:szCs w:val="26"/>
        </w:rPr>
        <w:t>№ 3</w:t>
      </w:r>
      <w:bookmarkStart w:id="3" w:name="_GoBack"/>
      <w:bookmarkEnd w:id="3"/>
      <w:r w:rsidR="00723DAE" w:rsidRPr="00723DAE">
        <w:rPr>
          <w:rFonts w:ascii="Liberation Serif" w:hAnsi="Liberation Serif"/>
          <w:sz w:val="26"/>
          <w:szCs w:val="26"/>
        </w:rPr>
        <w:t xml:space="preserve"> слова: «КС - средний уровень кадастровой стоимости земельных участков, утвержденный Приказом Министерства по управлению государственным муниципальным имуществом Свердловской области от 08.10.2020 № 3333 «Об утверждении результатов определения кадастровой стоимости земельных участков, расположенных на территории Свердловской области» - для сегмента «Предпринимательство»», заменить словами «КС – средний уровень кадастровой стоимости по Невьянскому городскому округу, утвержденный Приказом Министерства по управлению государственным муниципальным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 - дл</w:t>
      </w:r>
      <w:r w:rsidR="00830082">
        <w:rPr>
          <w:rFonts w:ascii="Liberation Serif" w:hAnsi="Liberation Serif"/>
          <w:sz w:val="26"/>
          <w:szCs w:val="26"/>
        </w:rPr>
        <w:t>я сегмента «Предпринимательство</w:t>
      </w:r>
      <w:r w:rsidR="00723DAE" w:rsidRPr="00723DAE">
        <w:rPr>
          <w:rFonts w:ascii="Liberation Serif" w:hAnsi="Liberation Serif"/>
          <w:sz w:val="26"/>
          <w:szCs w:val="26"/>
        </w:rPr>
        <w:t>».</w:t>
      </w:r>
    </w:p>
    <w:p w:rsidR="00723DAE" w:rsidRPr="00723DAE"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Настоящее решение вступает в силу с момента опубликования и распространяет свое действие на отношения с 01.01.2023.</w:t>
      </w:r>
    </w:p>
    <w:p w:rsidR="00723DAE" w:rsidRPr="00723DAE"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64566C" w:rsidRPr="00723DAE" w:rsidRDefault="0064566C" w:rsidP="00723DAE">
      <w:pPr>
        <w:ind w:right="6"/>
        <w:jc w:val="both"/>
        <w:rPr>
          <w:rFonts w:ascii="Liberation Serif" w:hAnsi="Liberation Serif"/>
          <w:sz w:val="26"/>
          <w:szCs w:val="26"/>
        </w:rPr>
      </w:pPr>
    </w:p>
    <w:tbl>
      <w:tblPr>
        <w:tblW w:w="0" w:type="auto"/>
        <w:tblLook w:val="04A0" w:firstRow="1" w:lastRow="0" w:firstColumn="1" w:lastColumn="0" w:noHBand="0" w:noVBand="1"/>
      </w:tblPr>
      <w:tblGrid>
        <w:gridCol w:w="4419"/>
        <w:gridCol w:w="1439"/>
        <w:gridCol w:w="4000"/>
      </w:tblGrid>
      <w:tr w:rsidR="007E056E" w:rsidRPr="00723DAE" w:rsidTr="00723DAE">
        <w:tc>
          <w:tcPr>
            <w:tcW w:w="4419" w:type="dxa"/>
            <w:shd w:val="clear" w:color="auto" w:fill="auto"/>
          </w:tcPr>
          <w:p w:rsidR="007E056E" w:rsidRPr="00723DAE" w:rsidRDefault="007E056E" w:rsidP="000F19A7">
            <w:pPr>
              <w:ind w:right="-185"/>
              <w:rPr>
                <w:rFonts w:ascii="Liberation Serif" w:hAnsi="Liberation Serif"/>
                <w:sz w:val="26"/>
                <w:szCs w:val="26"/>
              </w:rPr>
            </w:pPr>
            <w:r w:rsidRPr="00723DAE">
              <w:rPr>
                <w:rFonts w:ascii="Liberation Serif" w:hAnsi="Liberation Serif"/>
                <w:sz w:val="26"/>
                <w:szCs w:val="26"/>
              </w:rPr>
              <w:t xml:space="preserve">Глава Невьянского </w:t>
            </w:r>
          </w:p>
          <w:p w:rsidR="007E056E" w:rsidRPr="00723DAE" w:rsidRDefault="007E056E" w:rsidP="000F19A7">
            <w:pPr>
              <w:ind w:right="-185"/>
              <w:rPr>
                <w:rFonts w:ascii="Liberation Serif" w:hAnsi="Liberation Serif"/>
                <w:sz w:val="26"/>
                <w:szCs w:val="26"/>
              </w:rPr>
            </w:pPr>
            <w:r w:rsidRPr="00723DAE">
              <w:rPr>
                <w:rFonts w:ascii="Liberation Serif" w:hAnsi="Liberation Serif"/>
                <w:sz w:val="26"/>
                <w:szCs w:val="26"/>
              </w:rPr>
              <w:t>городского округа</w:t>
            </w:r>
          </w:p>
        </w:tc>
        <w:tc>
          <w:tcPr>
            <w:tcW w:w="1439" w:type="dxa"/>
            <w:shd w:val="clear" w:color="auto" w:fill="auto"/>
          </w:tcPr>
          <w:p w:rsidR="007E056E" w:rsidRPr="00723DAE" w:rsidRDefault="007E056E" w:rsidP="000F19A7">
            <w:pPr>
              <w:ind w:right="3"/>
              <w:rPr>
                <w:rFonts w:ascii="Liberation Serif" w:hAnsi="Liberation Serif"/>
                <w:b/>
                <w:sz w:val="26"/>
                <w:szCs w:val="26"/>
              </w:rPr>
            </w:pPr>
          </w:p>
        </w:tc>
        <w:tc>
          <w:tcPr>
            <w:tcW w:w="4000" w:type="dxa"/>
            <w:shd w:val="clear" w:color="auto" w:fill="auto"/>
          </w:tcPr>
          <w:p w:rsidR="007E056E" w:rsidRPr="00723DAE" w:rsidRDefault="007E056E" w:rsidP="000F19A7">
            <w:pPr>
              <w:ind w:right="-81"/>
              <w:jc w:val="both"/>
              <w:rPr>
                <w:rFonts w:ascii="Liberation Serif" w:hAnsi="Liberation Serif"/>
                <w:sz w:val="26"/>
                <w:szCs w:val="26"/>
              </w:rPr>
            </w:pPr>
            <w:r w:rsidRPr="00723DAE">
              <w:rPr>
                <w:rFonts w:ascii="Liberation Serif" w:hAnsi="Liberation Serif"/>
                <w:sz w:val="26"/>
                <w:szCs w:val="26"/>
              </w:rPr>
              <w:t xml:space="preserve">Председатель Думы </w:t>
            </w:r>
          </w:p>
          <w:p w:rsidR="007E056E" w:rsidRPr="00723DAE" w:rsidRDefault="007E056E" w:rsidP="000A0F55">
            <w:pPr>
              <w:rPr>
                <w:rFonts w:ascii="Liberation Serif" w:hAnsi="Liberation Serif"/>
                <w:sz w:val="26"/>
                <w:szCs w:val="26"/>
              </w:rPr>
            </w:pPr>
            <w:r w:rsidRPr="00723DAE">
              <w:rPr>
                <w:rFonts w:ascii="Liberation Serif" w:hAnsi="Liberation Serif"/>
                <w:sz w:val="26"/>
                <w:szCs w:val="26"/>
              </w:rPr>
              <w:t xml:space="preserve">Невьянского городского округа </w:t>
            </w:r>
          </w:p>
        </w:tc>
      </w:tr>
      <w:tr w:rsidR="007E056E" w:rsidRPr="00723DAE" w:rsidTr="00723DAE">
        <w:tc>
          <w:tcPr>
            <w:tcW w:w="4419" w:type="dxa"/>
            <w:shd w:val="clear" w:color="auto" w:fill="auto"/>
          </w:tcPr>
          <w:p w:rsidR="007E056E" w:rsidRPr="00723DAE" w:rsidRDefault="007E056E" w:rsidP="000F19A7">
            <w:pPr>
              <w:ind w:right="3"/>
              <w:rPr>
                <w:rFonts w:ascii="Liberation Serif" w:hAnsi="Liberation Serif"/>
                <w:b/>
                <w:sz w:val="26"/>
                <w:szCs w:val="26"/>
              </w:rPr>
            </w:pPr>
            <w:r w:rsidRPr="00723DAE">
              <w:rPr>
                <w:rFonts w:ascii="Liberation Serif" w:hAnsi="Liberation Serif"/>
                <w:sz w:val="26"/>
                <w:szCs w:val="26"/>
              </w:rPr>
              <w:t>_______________ А.А. Берчук</w:t>
            </w:r>
          </w:p>
        </w:tc>
        <w:tc>
          <w:tcPr>
            <w:tcW w:w="1439" w:type="dxa"/>
            <w:shd w:val="clear" w:color="auto" w:fill="auto"/>
          </w:tcPr>
          <w:p w:rsidR="007E056E" w:rsidRPr="00723DAE" w:rsidRDefault="007E056E" w:rsidP="000F19A7">
            <w:pPr>
              <w:ind w:right="3"/>
              <w:rPr>
                <w:rFonts w:ascii="Liberation Serif" w:hAnsi="Liberation Serif"/>
                <w:b/>
                <w:sz w:val="26"/>
                <w:szCs w:val="26"/>
              </w:rPr>
            </w:pPr>
          </w:p>
        </w:tc>
        <w:tc>
          <w:tcPr>
            <w:tcW w:w="4000" w:type="dxa"/>
            <w:shd w:val="clear" w:color="auto" w:fill="auto"/>
          </w:tcPr>
          <w:p w:rsidR="007E056E" w:rsidRPr="00723DAE" w:rsidRDefault="007E056E" w:rsidP="000F19A7">
            <w:pPr>
              <w:ind w:right="3"/>
              <w:rPr>
                <w:rFonts w:ascii="Liberation Serif" w:hAnsi="Liberation Serif"/>
                <w:b/>
                <w:sz w:val="26"/>
                <w:szCs w:val="26"/>
              </w:rPr>
            </w:pPr>
            <w:r w:rsidRPr="00723DAE">
              <w:rPr>
                <w:rFonts w:ascii="Liberation Serif" w:hAnsi="Liberation Serif"/>
                <w:sz w:val="26"/>
                <w:szCs w:val="26"/>
              </w:rPr>
              <w:t>____________ Л.Я. Замятина</w:t>
            </w:r>
          </w:p>
        </w:tc>
      </w:tr>
    </w:tbl>
    <w:p w:rsidR="001D7245" w:rsidRPr="007E056E" w:rsidRDefault="001D7245" w:rsidP="007E056E"/>
    <w:sectPr w:rsidR="001D7245" w:rsidRPr="007E056E" w:rsidSect="006D7001">
      <w:footerReference w:type="default" r:id="rId8"/>
      <w:headerReference w:type="first" r:id="rId9"/>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79" w:rsidRDefault="00A00079" w:rsidP="005C7D3B">
      <w:r>
        <w:separator/>
      </w:r>
    </w:p>
  </w:endnote>
  <w:endnote w:type="continuationSeparator" w:id="0">
    <w:p w:rsidR="00A00079" w:rsidRDefault="00A00079"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79" w:rsidRDefault="00A00079" w:rsidP="005C7D3B">
      <w:r>
        <w:separator/>
      </w:r>
    </w:p>
  </w:footnote>
  <w:footnote w:type="continuationSeparator" w:id="0">
    <w:p w:rsidR="00A00079" w:rsidRDefault="00A00079" w:rsidP="005C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17C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15:restartNumberingAfterBreak="0">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15:restartNumberingAfterBreak="0">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15:restartNumberingAfterBreak="0">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15:restartNumberingAfterBreak="0">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15:restartNumberingAfterBreak="0">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15:restartNumberingAfterBreak="0">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15:restartNumberingAfterBreak="0">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15:restartNumberingAfterBreak="0">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15:restartNumberingAfterBreak="0">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15:restartNumberingAfterBreak="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15:restartNumberingAfterBreak="0">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15:restartNumberingAfterBreak="0">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15:restartNumberingAfterBreak="0">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15:restartNumberingAfterBreak="0">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15:restartNumberingAfterBreak="0">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15:restartNumberingAfterBreak="0">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15:restartNumberingAfterBreak="0">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15:restartNumberingAfterBreak="0">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15:restartNumberingAfterBreak="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4D48BD"/>
    <w:multiLevelType w:val="hybridMultilevel"/>
    <w:tmpl w:val="9632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2" w15:restartNumberingAfterBreak="0">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4" w15:restartNumberingAfterBreak="0">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24"/>
  </w:num>
  <w:num w:numId="23">
    <w:abstractNumId w:val="25"/>
  </w:num>
  <w:num w:numId="24">
    <w:abstractNumId w:val="22"/>
  </w:num>
  <w:num w:numId="25">
    <w:abstractNumId w:val="21"/>
  </w:num>
  <w:num w:numId="26">
    <w:abstractNumId w:val="27"/>
  </w:num>
  <w:num w:numId="27">
    <w:abstractNumId w:val="19"/>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104"/>
    <w:rsid w:val="00393216"/>
    <w:rsid w:val="00396C83"/>
    <w:rsid w:val="003A6C05"/>
    <w:rsid w:val="003B37F8"/>
    <w:rsid w:val="003B3F29"/>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3DAE"/>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7F3573"/>
    <w:rsid w:val="008009B9"/>
    <w:rsid w:val="0080205F"/>
    <w:rsid w:val="00812ED2"/>
    <w:rsid w:val="00815056"/>
    <w:rsid w:val="00830082"/>
    <w:rsid w:val="008356E8"/>
    <w:rsid w:val="008450A5"/>
    <w:rsid w:val="00845AB0"/>
    <w:rsid w:val="00846B31"/>
    <w:rsid w:val="00870FF2"/>
    <w:rsid w:val="00882832"/>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C13EF"/>
    <w:rsid w:val="009D1327"/>
    <w:rsid w:val="009E2A56"/>
    <w:rsid w:val="009E2FA1"/>
    <w:rsid w:val="009E3A5F"/>
    <w:rsid w:val="009F35C4"/>
    <w:rsid w:val="009F3A86"/>
    <w:rsid w:val="00A00079"/>
    <w:rsid w:val="00A06FF3"/>
    <w:rsid w:val="00A16592"/>
    <w:rsid w:val="00A241A8"/>
    <w:rsid w:val="00A327EF"/>
    <w:rsid w:val="00A346CE"/>
    <w:rsid w:val="00A571D6"/>
    <w:rsid w:val="00A61FD8"/>
    <w:rsid w:val="00A7150F"/>
    <w:rsid w:val="00A71964"/>
    <w:rsid w:val="00A74E93"/>
    <w:rsid w:val="00A77611"/>
    <w:rsid w:val="00A818C3"/>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2CE80"/>
  <w14:defaultImageDpi w14:val="96"/>
  <w15:docId w15:val="{A6B6194B-1D0C-4065-9F76-C02BB34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266EC-CBDC-4540-891C-291D05A4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Olga I. Lanzova</cp:lastModifiedBy>
  <cp:revision>8</cp:revision>
  <cp:lastPrinted>2019-09-30T09:10:00Z</cp:lastPrinted>
  <dcterms:created xsi:type="dcterms:W3CDTF">2022-10-07T12:27:00Z</dcterms:created>
  <dcterms:modified xsi:type="dcterms:W3CDTF">2023-03-07T05:27:00Z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