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E" w:rsidRPr="00383A82" w:rsidRDefault="000E0AFE" w:rsidP="002D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  <w:highlight w:val="yellow"/>
        </w:rPr>
        <w:t xml:space="preserve">Актуальная редакция от </w:t>
      </w:r>
      <w:proofErr w:type="gramStart"/>
      <w:r w:rsidR="007F6D3F">
        <w:rPr>
          <w:rFonts w:ascii="Liberation Serif" w:hAnsi="Liberation Serif"/>
          <w:sz w:val="28"/>
          <w:szCs w:val="28"/>
          <w:highlight w:val="yellow"/>
        </w:rPr>
        <w:t>05.02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>.</w:t>
      </w:r>
      <w:r w:rsidR="007F6D3F">
        <w:rPr>
          <w:rFonts w:ascii="Liberation Serif" w:hAnsi="Liberation Serif"/>
          <w:sz w:val="28"/>
          <w:szCs w:val="28"/>
          <w:highlight w:val="yellow"/>
        </w:rPr>
        <w:t>2021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 xml:space="preserve">  №</w:t>
      </w:r>
      <w:proofErr w:type="gramEnd"/>
      <w:r w:rsidR="00BA2C3E"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7F6D3F">
        <w:rPr>
          <w:rFonts w:ascii="Liberation Serif" w:hAnsi="Liberation Serif"/>
          <w:sz w:val="28"/>
          <w:szCs w:val="28"/>
          <w:highlight w:val="yellow"/>
        </w:rPr>
        <w:t>148</w:t>
      </w:r>
      <w:r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>-п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7F6D3F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bookmarkStart w:id="0" w:name="_GoBack"/>
      <w:r w:rsidRPr="00383A82"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1">
            <v:imagedata r:id="rId5" o:title=""/>
          </v:shape>
          <o:OLEObject Type="Embed" ProgID="Word.Picture.8" ShapeID="_x0000_s1026" DrawAspect="Content" ObjectID="_1674280200" r:id="rId6"/>
        </w:object>
      </w:r>
    </w:p>
    <w:bookmarkEnd w:id="0"/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smartTag w:uri="urn:schemas-microsoft-com:office:smarttags" w:element="PersonName">
        <w:smartTagPr>
          <w:attr w:name="ProductID" w:val="АДМИНИСТРАЦИЯ  НЕВЬЯНСКОГО  ГОРОДСКОГО ОКРУГА"/>
        </w:smartTagPr>
        <w:r w:rsidRPr="00383A82">
          <w:rPr>
            <w:rFonts w:ascii="Liberation Serif" w:hAnsi="Liberation Serif"/>
            <w:b/>
            <w:sz w:val="24"/>
            <w:szCs w:val="24"/>
          </w:rPr>
          <w:t>АДМИНИСТРАЦИЯ  НЕВЬЯНСКОГО</w:t>
        </w:r>
        <w:proofErr w:type="gramEnd"/>
        <w:r w:rsidRPr="00383A82">
          <w:rPr>
            <w:rFonts w:ascii="Liberation Serif" w:hAnsi="Liberation Serif"/>
            <w:b/>
            <w:sz w:val="24"/>
            <w:szCs w:val="24"/>
          </w:rPr>
          <w:t xml:space="preserve">  ГОРОДСКОГО ОКРУГА</w:t>
        </w:r>
      </w:smartTag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П О С Т А Н О В Л Е Н И Е</w:t>
      </w:r>
    </w:p>
    <w:p w:rsidR="00BA2C3E" w:rsidRPr="00383A82" w:rsidRDefault="007F6D3F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noProof/>
        </w:rPr>
        <w:pict>
          <v:line id="Прямая соединительная линия 4" o:spid="_x0000_s1027" style="position:absolute;left:0;text-align:left;flip:y;z-index:2;visibility:visible;mso-wrap-distance-top:-8e-5mm;mso-wrap-distance-bottom:-8e-5mm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<v:stroke linestyle="thickThin"/>
          </v:line>
        </w:pict>
      </w:r>
    </w:p>
    <w:p w:rsidR="00BA2C3E" w:rsidRPr="00383A82" w:rsidRDefault="00BA2C3E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От 20.10.2014 г.                                                                                                     № 2553 – п</w: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г. Невьянск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 xml:space="preserve">Об утверждении муниципальной программы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383A82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до 2024 года»</w:t>
      </w:r>
    </w:p>
    <w:p w:rsidR="00BA2C3E" w:rsidRPr="00383A82" w:rsidRDefault="00BA2C3E" w:rsidP="002D3572">
      <w:pPr>
        <w:spacing w:after="0" w:line="240" w:lineRule="auto"/>
        <w:ind w:firstLine="108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ПОСТАНОВЛЯЮ: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1. Утвердить муниципальную программу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383A82">
        <w:rPr>
          <w:rFonts w:ascii="Liberation Serif" w:hAnsi="Liberation Serif"/>
          <w:sz w:val="28"/>
          <w:szCs w:val="28"/>
        </w:rPr>
        <w:t>Новое качество жизни жителей  Невьянского городского округа до 2024 года» (далее – Муниципальная программа) (прилагается).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2. 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BA2C3E" w:rsidRPr="00383A82" w:rsidRDefault="00BA2C3E" w:rsidP="002D3572">
      <w:pPr>
        <w:spacing w:after="0" w:line="240" w:lineRule="auto"/>
        <w:ind w:firstLine="108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 w:rsidRPr="00383A82">
        <w:rPr>
          <w:rFonts w:ascii="Liberation Serif" w:hAnsi="Liberation Serif"/>
          <w:sz w:val="28"/>
          <w:szCs w:val="28"/>
        </w:rPr>
        <w:t>Каюмов</w:t>
      </w:r>
      <w:proofErr w:type="spellEnd"/>
    </w:p>
    <w:p w:rsidR="00BA2C3E" w:rsidRPr="00383A82" w:rsidRDefault="00BA2C3E" w:rsidP="002D3572">
      <w:pPr>
        <w:rPr>
          <w:rFonts w:ascii="Liberation Serif" w:hAnsi="Liberation Seri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15"/>
        <w:gridCol w:w="4897"/>
      </w:tblGrid>
      <w:tr w:rsidR="00BA2C3E" w:rsidRPr="00383A82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BA2C3E" w:rsidRPr="00383A82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«Новое качество жизни жителей Невьянского городского округа до 2024 года»</w:t>
            </w:r>
          </w:p>
        </w:tc>
      </w:tr>
      <w:tr w:rsidR="00BA2C3E" w:rsidRPr="00383A82" w:rsidTr="003D63DD">
        <w:trPr>
          <w:trHeight w:hRule="exact" w:val="30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BA2C3E" w:rsidRPr="00383A82" w:rsidTr="003D63DD">
        <w:trPr>
          <w:trHeight w:hRule="exact" w:val="105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201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  <w:lang w:val="en-US"/>
              </w:rPr>
              <w:t>6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- 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202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  <w:lang w:val="en-US"/>
              </w:rPr>
              <w:t>4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годы</w:t>
            </w:r>
          </w:p>
        </w:tc>
      </w:tr>
      <w:tr w:rsidR="00BA2C3E" w:rsidRPr="00383A82" w:rsidTr="003D63DD">
        <w:trPr>
          <w:trHeight w:hRule="exact" w:val="294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</w:tc>
      </w:tr>
      <w:tr w:rsidR="00BA2C3E" w:rsidRPr="00383A82" w:rsidTr="003D63DD">
        <w:trPr>
          <w:trHeight w:hRule="exact" w:val="13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BA2C3E" w:rsidRPr="00383A82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</w:p>
        </w:tc>
      </w:tr>
      <w:tr w:rsidR="00BA2C3E" w:rsidRPr="00383A82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2.1. Развитие средств массовой информации на территории НГО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3.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</w:tr>
      <w:tr w:rsidR="00BA2C3E" w:rsidRPr="00383A82" w:rsidTr="003D63DD">
        <w:trPr>
          <w:trHeight w:hRule="exact" w:val="198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3.1.  Формирование здорового образа жизни населения Невьянского городского округа, совершенствование методов профилактики заболеваний,  в том числе снижение распространенности наиболее значимых факторов риска</w:t>
            </w:r>
          </w:p>
        </w:tc>
      </w:tr>
      <w:tr w:rsidR="00BA2C3E" w:rsidRPr="00383A82" w:rsidTr="003D63DD">
        <w:trPr>
          <w:trHeight w:hRule="exact" w:val="294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4. Формирование у населения внутренней потребности в толерантном поведении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 на основе ценностей многонационального российского общества, культурного самосознания,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принципов соблюдения прав и свобод человека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</w:p>
        </w:tc>
      </w:tr>
      <w:tr w:rsidR="00BA2C3E" w:rsidRPr="00383A82" w:rsidTr="003D63DD">
        <w:trPr>
          <w:trHeight w:hRule="exact" w:val="10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4.1. Пропаганда толерантного поведения к людям других национальностей и религиозных конфессий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BA2C3E" w:rsidRPr="00383A82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5. Противодействие терроризму и экстремизму и защита жизни граждан, проживающих на территории Невьянского городского округа от террористических и экстремистских актов                               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5.1.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5.2. Информирование населения муниципального образования по вопросам </w:t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проти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водействия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терроризму и экстремизму</w:t>
            </w:r>
          </w:p>
        </w:tc>
      </w:tr>
      <w:tr w:rsidR="00BA2C3E" w:rsidRPr="00383A82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</w:t>
            </w:r>
          </w:p>
        </w:tc>
      </w:tr>
      <w:tr w:rsidR="00BA2C3E" w:rsidRPr="00383A82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6.1. Повышение эффективности взаимодействия субъектов системы профилактики, направленного на устранение причин и условий совершения правонарушений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7. Создание необходимых условий для обеспечения безопасности дорожного движения на территории Невьянского городского округа</w:t>
            </w:r>
          </w:p>
        </w:tc>
      </w:tr>
      <w:tr w:rsidR="00BA2C3E" w:rsidRPr="00383A82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</w:t>
            </w: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1. "Информационное общество Невьянского городского округа"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2. "Профилактика заболеваний и формирование здорового образа жизни"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3. "Профилактика терроризма и экстремизма в Невьянском городском округе" 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4. "Профилактика правонарушений в Невьянском городском округе"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5. "Безопасность дорожного движения в Невьянском городском округе на 2015-2021 годы"</w:t>
            </w: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1. Обеспеченность муниципальных служащих средствами вычислительной техники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2. Доля персональных компьютеров, подключенных к единой компьютерной сети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3. Доля рабочих мест, подключенных к системе электронного документооборота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4. Количество выпущенных страниц формата А4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5. Количество выпускаемых видеороликов в год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6. Увеличение числа лиц, обученных основам здорового образа жизни и укрепления здоровья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7. Число лиц, принявших участие в массовых профилактических мероприятиях, направленных на укрепление здоровья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8. Доля ВИЧ  инфицированных, состоящих на диспансерном учете от числа выявленных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9. Уровень информированности населения по вопросам ВИЧ-инфекции, не менее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10. Охват </w:t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скрининговыми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обследованиями населения на ВИЧ-инфекцию, не менее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11. Охват населения профилактическими осмотрами на туберкулез, в том числе среди групп риска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12. Снижение общей заболеваемости наркоманией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13. Охват иммунизацией населения против гепатита А 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14. Охват иммунизацией населения против клещевого энцефалита</w:t>
            </w:r>
          </w:p>
        </w:tc>
      </w:tr>
      <w:tr w:rsidR="00BA2C3E" w:rsidRPr="00383A82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15. Увеличение числа лиц среди детей и молодежи 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16. Снижение наличия элементов экстремистской направленности на объектах городской инфраструктуры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17. Уменьшение количества  выявленных фактов экстремистских и террористических проявлений на территории Невьянского городского округа        </w:t>
            </w:r>
          </w:p>
        </w:tc>
      </w:tr>
      <w:tr w:rsidR="00BA2C3E" w:rsidRPr="00383A82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18. Уменьшение степени доступности  изданий, запрещенных для чтения как экстремистские, находящих  в незаконном обороте, а также степень доступности к сайтам экстремистского содержания, учеников и сотрудников школы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19. Уменьшение доли лиц, вынашивающих намерения о совершении экстремистской деятельности в  общем  числе населения Невьянского городского округа.     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20. Увеличение числа лиц, обученных по вопросам противодействия терроризму и экстремизму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21. Количество общего числа зарегистрированных преступлений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22. Количество преступлений, совершенных несовершеннолетними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23. Удельный вес тяжких и особо тяжких преступлений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24. Количество дорожно-транспортных происшествий, в которых пострадали и (или) погибли люди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25. Число лиц, погибших в дорожно-транспортных происшествиях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26.  Число детей, погибших в дорожно-транспортных происшествиях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27. Социальный риск (число лиц, погибших в дорожно-транспортных происшествиях, на 100 тыс. населения)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28. 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BA2C3E" w:rsidRPr="00383A82" w:rsidTr="0046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402" w:type="dxa"/>
          </w:tcPr>
          <w:p w:rsidR="00BA2C3E" w:rsidRPr="00383A82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A2C3E" w:rsidRPr="00383A82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BA2C3E" w:rsidRPr="00383A82" w:rsidRDefault="00BA2C3E" w:rsidP="004611E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Всего: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104 472, 29 тыс. рублей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2016 год – 7 786,53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2017 год – </w:t>
            </w:r>
            <w:r w:rsidRPr="007F6D3F">
              <w:rPr>
                <w:rFonts w:ascii="Liberation Serif" w:hAnsi="Liberation Serif"/>
                <w:bCs/>
                <w:sz w:val="28"/>
                <w:szCs w:val="28"/>
                <w:highlight w:val="yellow"/>
              </w:rPr>
              <w:t xml:space="preserve">9 945,07 </w:t>
            </w: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2018 год – 8 046,20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2019 год – 57 631,64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5 203,84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5 221,25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5 269,70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lastRenderedPageBreak/>
              <w:t>2023 год – 5 368,06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0,00 тыс. рублей.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из них: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местный бюджет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104 472, 29 тыс. рублей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2016 год – 7 786,53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2017 год – </w:t>
            </w:r>
            <w:r w:rsidRPr="007F6D3F">
              <w:rPr>
                <w:rFonts w:ascii="Liberation Serif" w:hAnsi="Liberation Serif"/>
                <w:bCs/>
                <w:sz w:val="28"/>
                <w:szCs w:val="28"/>
                <w:highlight w:val="yellow"/>
              </w:rPr>
              <w:t>9 945,07</w:t>
            </w: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2018 год – 8 046,20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2019 год – 57 631,64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5 203,84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5 221,25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5 269,70 тыс. рублей,</w:t>
            </w:r>
          </w:p>
          <w:p w:rsidR="00383A82" w:rsidRPr="007F6D3F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5 368,06 тыс. рублей,</w:t>
            </w:r>
          </w:p>
          <w:p w:rsidR="00383A82" w:rsidRPr="00383A82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F6D3F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0,00 тыс. рублей.</w:t>
            </w:r>
          </w:p>
          <w:p w:rsidR="00383A82" w:rsidRPr="00383A82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BA2C3E" w:rsidRPr="00383A82" w:rsidRDefault="00BA2C3E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2C3E" w:rsidRPr="00383A82" w:rsidTr="003D63DD">
        <w:trPr>
          <w:trHeight w:hRule="exact" w:val="3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http://nevyansk66.ru/</w:t>
            </w: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7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</w:tbl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Настоящая муниципальная программа (далее – Программа) разработана 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BA2C3E" w:rsidRPr="00383A82" w:rsidRDefault="00BA2C3E" w:rsidP="002D3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Указами Президента Российской Федерации от 07 мая 2012 года;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lastRenderedPageBreak/>
        <w:t>2) Стратегией социально-экономического развития Свердловской области на период до 2020 года, одобренной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3) 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4) Комплексной программы повышения качества жизни населения Свердловской области на период до 2018 года – «Новое качество жизни Уральцев», утвержденной постановлением Свердловской области от 01.07.2014 № 552-ПП.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5) Стратегией социально-экономического развития Невьянского городского округа, утвержденной постановлением администрации Невьянского городского округа от 03.04.2009 года № 886-п.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на удовлетворение жизненных потребностей населения, оценку эффективности «обратной связи» общества и государства.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Невьянского городского округа в направлении повышения качества жизни населения на основе: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повышения результативности использования материальных и финансовых ресурсов.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lastRenderedPageBreak/>
        <w:t xml:space="preserve">Новое качество жизни – это интегральная категория, основанная на учете человека не только как производителя и потребителя различных товаров и услуг, но и как целостной личности, созидающей свою жизнь и жизнь своей семьи, всего общества и страны в целом.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этой связи в понятии «новое качество жизни» необходимо 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Таким образом, реализация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программно-целевого метода.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32"/>
          <w:szCs w:val="32"/>
        </w:rPr>
      </w:pPr>
      <w:r w:rsidRPr="00383A82">
        <w:rPr>
          <w:rFonts w:ascii="Liberation Serif" w:hAnsi="Liberation Serif"/>
          <w:b/>
          <w:sz w:val="32"/>
          <w:szCs w:val="32"/>
        </w:rPr>
        <w:t>Подпрограмма 1. «Информационное общество Невьянского городского округа» на 2016-2024 годы» муниципальной программы «Новое качество жизни жителей Невьянского городского округа на период 2015-2021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и телекоммуникационных технологий.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2) развитие экономики Российской Федерации на основе использования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информационных и телекоммуникационных технологий;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3) повышение эффективности государственного управления и местного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самоуправления, взаимодействия гражданского общества и бизнеса с органами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государственной власти, повышение качества и оперативности </w:t>
      </w:r>
      <w:r w:rsidRPr="00383A82">
        <w:rPr>
          <w:rFonts w:ascii="Liberation Serif" w:hAnsi="Liberation Serif"/>
          <w:sz w:val="28"/>
          <w:szCs w:val="28"/>
        </w:rPr>
        <w:lastRenderedPageBreak/>
        <w:t xml:space="preserve">предоставления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государственных услуг.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32"/>
          <w:szCs w:val="32"/>
        </w:rPr>
      </w:pPr>
      <w:r w:rsidRPr="00383A82">
        <w:rPr>
          <w:rFonts w:ascii="Liberation Serif" w:hAnsi="Liberation Serif"/>
          <w:b/>
          <w:sz w:val="32"/>
          <w:szCs w:val="32"/>
        </w:rPr>
        <w:t>Подпрограмма 2. «Профилактика заболеваний и формирование здорового образа жизни»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 в 2012 году составил 7,6 на 1000 трудоспособного населения, при средне-областном 6.26 на 1000. 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3) низкая информированность населения по профилактике туберкулеза.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</w:t>
      </w:r>
      <w:r w:rsidRPr="00383A82">
        <w:rPr>
          <w:rFonts w:ascii="Liberation Serif" w:hAnsi="Liberation Serif"/>
          <w:sz w:val="28"/>
          <w:szCs w:val="28"/>
        </w:rPr>
        <w:lastRenderedPageBreak/>
        <w:t>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ab/>
      </w:r>
      <w:r w:rsidRPr="00383A82">
        <w:rPr>
          <w:rFonts w:ascii="Liberation Serif" w:hAnsi="Liberation Serif"/>
          <w:sz w:val="28"/>
          <w:szCs w:val="28"/>
        </w:rPr>
        <w:t>Основные задачи по предупреждению распространения ВИЧ-инфекции в Невьянском городском округе: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BA2C3E" w:rsidRPr="00383A82" w:rsidRDefault="00BA2C3E" w:rsidP="002D357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- охват </w:t>
      </w:r>
      <w:proofErr w:type="spellStart"/>
      <w:r w:rsidRPr="00383A82">
        <w:rPr>
          <w:rFonts w:ascii="Liberation Serif" w:hAnsi="Liberation Serif"/>
          <w:sz w:val="28"/>
          <w:szCs w:val="28"/>
        </w:rPr>
        <w:t>скрининговым</w:t>
      </w:r>
      <w:proofErr w:type="spellEnd"/>
      <w:r w:rsidRPr="00383A82">
        <w:rPr>
          <w:rFonts w:ascii="Liberation Serif" w:hAnsi="Liberation Serif"/>
          <w:sz w:val="28"/>
          <w:szCs w:val="28"/>
        </w:rPr>
        <w:t xml:space="preserve"> обследованием населения – 16 %;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- охват диспансерным наблюдением ВИЧ(+) – 95 %;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- охват диспансерным наблюдением детей с перинатальным контактом и         ВИЧ (+) детей – 100 %;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Увеличение оборота наркотических средств и </w:t>
      </w:r>
      <w:proofErr w:type="spellStart"/>
      <w:r w:rsidRPr="00383A82">
        <w:rPr>
          <w:rFonts w:ascii="Liberation Serif" w:hAnsi="Liberation Serif" w:cs="Courier New"/>
          <w:sz w:val="28"/>
          <w:szCs w:val="28"/>
        </w:rPr>
        <w:t>психоактивных</w:t>
      </w:r>
      <w:proofErr w:type="spellEnd"/>
      <w:r w:rsidRPr="00383A82">
        <w:rPr>
          <w:rFonts w:ascii="Liberation Serif" w:hAnsi="Liberation Serif" w:cs="Courier New"/>
          <w:sz w:val="28"/>
          <w:szCs w:val="28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83A82">
        <w:rPr>
          <w:rFonts w:ascii="Liberation Serif" w:hAnsi="Liberation Serif"/>
          <w:sz w:val="28"/>
          <w:szCs w:val="28"/>
        </w:rPr>
        <w:t>Наркоситуацию</w:t>
      </w:r>
      <w:proofErr w:type="spellEnd"/>
      <w:r w:rsidRPr="00383A82">
        <w:rPr>
          <w:rFonts w:ascii="Liberation Serif" w:hAnsi="Liberation Serif"/>
          <w:sz w:val="28"/>
          <w:szCs w:val="28"/>
        </w:rPr>
        <w:t xml:space="preserve"> усугубляет незаконный оборот готовых наркотических средств и психотропных веществ.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0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>- профилактика распространения незаконного употребления и незаконного оборота наркотиков;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>- информированность населения по профилактике  и лечению  больных наркоманией.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lastRenderedPageBreak/>
        <w:t xml:space="preserve">          Подпрограмма 2  разработана в целях координации усилий и повышения эффективности мер противодействия распространению ВИЧ- инфекции, туберкулеза, наркомании,  ориентирована на совершенствование профилактики этих заболеваний, проведение вакцинопрофилактики.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Подпрограмма 2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больных а также сокращению уровня смертности, </w:t>
      </w:r>
      <w:proofErr w:type="spellStart"/>
      <w:r w:rsidRPr="00383A82">
        <w:rPr>
          <w:rFonts w:ascii="Liberation Serif" w:hAnsi="Liberation Serif"/>
          <w:sz w:val="28"/>
          <w:szCs w:val="28"/>
        </w:rPr>
        <w:t>инвалидизации</w:t>
      </w:r>
      <w:proofErr w:type="spellEnd"/>
      <w:r w:rsidRPr="00383A82">
        <w:rPr>
          <w:rFonts w:ascii="Liberation Serif" w:hAnsi="Liberation Serif"/>
          <w:sz w:val="28"/>
          <w:szCs w:val="28"/>
        </w:rPr>
        <w:t>, снижению показателей заболеваемости.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383A82">
        <w:rPr>
          <w:rFonts w:ascii="Liberation Serif" w:hAnsi="Liberation Serif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в формировании общественного мнения. </w:t>
      </w:r>
      <w:r w:rsidRPr="00383A82">
        <w:rPr>
          <w:rFonts w:ascii="Liberation Serif" w:hAnsi="Liberation Serif"/>
          <w:sz w:val="28"/>
          <w:szCs w:val="28"/>
        </w:rPr>
        <w:tab/>
        <w:t>Муниципалитеты решают вопросы 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и настроение общества, управляемость общественно-политической ситуации.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lastRenderedPageBreak/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Результатом реализации подпрограммы должно стать: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сохранение межэтнического и межконфессионального согласия;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отсутствие причин и условий, способствующих осуществлению проявлений экстремизма и терроризма;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социальная стабильность.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Подпрограмма 4.  «Профилактика правонарушений в Невьянском городском округе на 2016 -  2024 годы» муниципальной программы  «Новое качество жизни жителей Невьянского городского округа на период 2015-2021 годов»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Достижение указанных целей обеспечивается решением следующих задач: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выявление и изучение причин и условий совершения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осуществление мероприятий, направленных на активизацию борьбы с безнадзорностью и беспризорностью несовершеннолетних;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повышение правосознания и уровня правовой культуры граждан;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снижение риска у физических лиц стать жертвами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привлечение юридических лиц, общественных объединений, граждан к участию в профилактике правонарушений.</w:t>
      </w:r>
    </w:p>
    <w:p w:rsidR="00BA2C3E" w:rsidRPr="00383A82" w:rsidRDefault="00BA2C3E" w:rsidP="002D3572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0"/>
        </w:rPr>
        <w:t>Подпрограмма 5. «Обеспечение безопасности дорожного движения»</w:t>
      </w:r>
      <w:r w:rsidRPr="00383A82">
        <w:rPr>
          <w:rFonts w:ascii="Liberation Serif" w:hAnsi="Liberation Serif"/>
          <w:b/>
          <w:sz w:val="28"/>
          <w:szCs w:val="28"/>
        </w:rPr>
        <w:t xml:space="preserve"> муниципальной программы 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В Невьянском городском округе зарегистрировано 16055 единиц транспортных средств (из них 740 прицепов).  Количество дорожно-транспортных происшествий составляет 400-500 в год, в которых ежегодно погибают около 12 человек и 150-170 человек получают травмы различной степени тяжести.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lastRenderedPageBreak/>
        <w:t>За 12 месяцев 2013 года на территории Невьянского городского округа произошло 1101 (АППГ-1010) ДТП, в которых пострадало 183 (АППГ-198), погибло – 15 (АППГ-15).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Основными причинами происшествий явились: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1. Нарушение Правил дорожного движения водителями транспортных средств: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управление транспортным средством в состоянии алкогольного опьянения;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несоответствие скорости движения конкретным условиям движения;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несоблюдение очередности проезда;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выезд на полосу встречного движения;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проезд перекрестка на запрещающий сигнал светофора;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2. Нарушение Правил дорожного движения пешеходами: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Переход проезжей части вне зоны пешеходного перехода;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хождение по проезжей части, при наличии тротуара;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переход проезжей части в неустановленном месте.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 xml:space="preserve"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нарушений Правил дорожного движения. С момента вступления в силу Федерального закона от 30.12.201 г.№196-ФЗ (ред. 13.03.2006) «О введении 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в МУЗ ЦРБ </w:t>
      </w:r>
      <w:proofErr w:type="spellStart"/>
      <w:r w:rsidRPr="00383A82">
        <w:rPr>
          <w:rFonts w:ascii="Liberation Serif" w:hAnsi="Liberation Serif"/>
          <w:sz w:val="28"/>
          <w:szCs w:val="20"/>
        </w:rPr>
        <w:t>г.Невьянска</w:t>
      </w:r>
      <w:proofErr w:type="spellEnd"/>
      <w:r w:rsidRPr="00383A82">
        <w:rPr>
          <w:rFonts w:ascii="Liberation Serif" w:hAnsi="Liberation Serif"/>
          <w:sz w:val="28"/>
          <w:szCs w:val="20"/>
        </w:rPr>
        <w:t>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Раздел 2. Цели и задачи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Раздел 3. План мероприятий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План мероприятий по выполнению муниципальной программы приведен </w:t>
      </w:r>
      <w:r w:rsidRPr="00383A82">
        <w:rPr>
          <w:rFonts w:ascii="Liberation Serif" w:hAnsi="Liberation Serif"/>
          <w:sz w:val="28"/>
          <w:szCs w:val="28"/>
        </w:rPr>
        <w:lastRenderedPageBreak/>
        <w:t>в приложении № 2 к муниципальной программе.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 Постановлением администрации Невьянского городского округа от 16.06.2014 № 1402-п «Об утверждении Перечня муниципальных программ Невьянского городского округа, подлежащих разработке в 2014 году» и иными нормативными актами Свердловской области и администрации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bookmarkStart w:id="1" w:name="Par559"/>
      <w:bookmarkEnd w:id="1"/>
      <w:r w:rsidRPr="00383A82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  <w:r w:rsidRPr="00383A82">
        <w:rPr>
          <w:rFonts w:ascii="Liberation Serif" w:hAnsi="Liberation Serif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 22.06.2011г.  № 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>
      <w:pPr>
        <w:rPr>
          <w:rFonts w:ascii="Liberation Serif" w:hAnsi="Liberation Serif"/>
        </w:rPr>
      </w:pPr>
    </w:p>
    <w:sectPr w:rsidR="00BA2C3E" w:rsidRPr="00383A82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1"/>
    <w:rsid w:val="000E0AFE"/>
    <w:rsid w:val="00133B3E"/>
    <w:rsid w:val="001D32BF"/>
    <w:rsid w:val="001F520D"/>
    <w:rsid w:val="001F6BF0"/>
    <w:rsid w:val="00211FB8"/>
    <w:rsid w:val="002D3572"/>
    <w:rsid w:val="002F3AB6"/>
    <w:rsid w:val="00383A82"/>
    <w:rsid w:val="003871EE"/>
    <w:rsid w:val="003D63DD"/>
    <w:rsid w:val="00410AD0"/>
    <w:rsid w:val="00445761"/>
    <w:rsid w:val="0046115B"/>
    <w:rsid w:val="004611E5"/>
    <w:rsid w:val="0047747E"/>
    <w:rsid w:val="005358E7"/>
    <w:rsid w:val="00537AAD"/>
    <w:rsid w:val="0054037A"/>
    <w:rsid w:val="00571114"/>
    <w:rsid w:val="005A0BF1"/>
    <w:rsid w:val="005D3C31"/>
    <w:rsid w:val="00695E4F"/>
    <w:rsid w:val="006A537F"/>
    <w:rsid w:val="007E0AF7"/>
    <w:rsid w:val="007F6D3F"/>
    <w:rsid w:val="00841623"/>
    <w:rsid w:val="008539F2"/>
    <w:rsid w:val="00871AAB"/>
    <w:rsid w:val="00873651"/>
    <w:rsid w:val="008B333F"/>
    <w:rsid w:val="008D5AD1"/>
    <w:rsid w:val="00915D7D"/>
    <w:rsid w:val="009161F9"/>
    <w:rsid w:val="0091787E"/>
    <w:rsid w:val="009418E3"/>
    <w:rsid w:val="0094671A"/>
    <w:rsid w:val="009572B8"/>
    <w:rsid w:val="00984A2B"/>
    <w:rsid w:val="00A41A43"/>
    <w:rsid w:val="00A86B8A"/>
    <w:rsid w:val="00AC4B5E"/>
    <w:rsid w:val="00AF4BCA"/>
    <w:rsid w:val="00B129A7"/>
    <w:rsid w:val="00B5601C"/>
    <w:rsid w:val="00BA2C3E"/>
    <w:rsid w:val="00BD3D4E"/>
    <w:rsid w:val="00CD4B9D"/>
    <w:rsid w:val="00DB169C"/>
    <w:rsid w:val="00E02741"/>
    <w:rsid w:val="00EB7FC7"/>
    <w:rsid w:val="00F84712"/>
    <w:rsid w:val="00F84948"/>
    <w:rsid w:val="00F862E5"/>
    <w:rsid w:val="00FC688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551A2F55"/>
  <w15:docId w15:val="{45B504C1-64B9-4A9D-95AA-A569B37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Anastasia V. Pyankova</cp:lastModifiedBy>
  <cp:revision>16</cp:revision>
  <dcterms:created xsi:type="dcterms:W3CDTF">2019-07-05T03:11:00Z</dcterms:created>
  <dcterms:modified xsi:type="dcterms:W3CDTF">2021-02-08T04:04:00Z</dcterms:modified>
</cp:coreProperties>
</file>