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76C3C" w:rsidP="00776C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776C3C">
              <w:rPr>
                <w:rFonts w:ascii="Liberation Serif" w:hAnsi="Liberation Serif"/>
              </w:rPr>
              <w:t>1590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76C3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2C726D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483142" w:rsidRPr="002C726D">
        <w:rPr>
          <w:rFonts w:ascii="Liberation Serif" w:hAnsi="Liberation Serif"/>
          <w:sz w:val="26"/>
          <w:szCs w:val="26"/>
        </w:rPr>
        <w:t>16.11</w:t>
      </w:r>
      <w:r w:rsidRPr="002C726D">
        <w:rPr>
          <w:rFonts w:ascii="Liberation Serif" w:hAnsi="Liberation Serif"/>
          <w:sz w:val="26"/>
          <w:szCs w:val="26"/>
        </w:rPr>
        <w:t>.2020</w:t>
      </w:r>
      <w:r w:rsidR="00483142" w:rsidRPr="002C726D">
        <w:rPr>
          <w:rFonts w:ascii="Liberation Serif" w:hAnsi="Liberation Serif"/>
          <w:sz w:val="26"/>
          <w:szCs w:val="26"/>
        </w:rPr>
        <w:t xml:space="preserve">, материалов, обосновывающих предоставление разрешения на отклонение от предельных параметров разрешенного строительства жилого дома, расположенного по адресу: Свердловская область, г. Невьянск, ул. </w:t>
      </w:r>
      <w:proofErr w:type="spellStart"/>
      <w:r w:rsidR="00483142" w:rsidRPr="002C726D">
        <w:rPr>
          <w:rFonts w:ascii="Liberation Serif" w:hAnsi="Liberation Serif"/>
          <w:sz w:val="26"/>
          <w:szCs w:val="26"/>
        </w:rPr>
        <w:t>Коскович</w:t>
      </w:r>
      <w:proofErr w:type="spellEnd"/>
      <w:r w:rsidR="00483142" w:rsidRPr="002C726D">
        <w:rPr>
          <w:rFonts w:ascii="Liberation Serif" w:hAnsi="Liberation Serif"/>
          <w:sz w:val="26"/>
          <w:szCs w:val="26"/>
        </w:rPr>
        <w:t>, д. 15, выполненных ООО «Проектно-геодезическая компания» 014.1148-МОПР, 2020 г.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8544E" w:rsidRPr="002C726D" w:rsidRDefault="0029265D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1. </w:t>
      </w:r>
      <w:r w:rsidR="0058544E" w:rsidRPr="002C726D">
        <w:rPr>
          <w:rFonts w:ascii="Liberation Serif" w:hAnsi="Liberation Serif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</w:t>
      </w:r>
      <w:r w:rsidR="00483142" w:rsidRPr="002C726D">
        <w:rPr>
          <w:rFonts w:ascii="Liberation Serif" w:hAnsi="Liberation Serif"/>
          <w:sz w:val="26"/>
          <w:szCs w:val="26"/>
        </w:rPr>
        <w:t xml:space="preserve">66:15:1501007:592, расположенном по адресу: Свердловская область, город Невьянск, улица </w:t>
      </w:r>
      <w:proofErr w:type="spellStart"/>
      <w:r w:rsidR="00483142" w:rsidRPr="002C726D">
        <w:rPr>
          <w:rFonts w:ascii="Liberation Serif" w:hAnsi="Liberation Serif"/>
          <w:sz w:val="26"/>
          <w:szCs w:val="26"/>
        </w:rPr>
        <w:t>Коскович</w:t>
      </w:r>
      <w:proofErr w:type="spellEnd"/>
      <w:r w:rsidR="00483142" w:rsidRPr="002C726D">
        <w:rPr>
          <w:rFonts w:ascii="Liberation Serif" w:hAnsi="Liberation Serif"/>
          <w:sz w:val="26"/>
          <w:szCs w:val="26"/>
        </w:rPr>
        <w:t xml:space="preserve">, № 15, со стороны земельного участка с кадастровым номером 66:15:1501007:7, расположенного по адресу: Свердловская область, город Невьянск, улица </w:t>
      </w:r>
      <w:proofErr w:type="spellStart"/>
      <w:r w:rsidR="00483142" w:rsidRPr="002C726D">
        <w:rPr>
          <w:rFonts w:ascii="Liberation Serif" w:hAnsi="Liberation Serif"/>
          <w:sz w:val="26"/>
          <w:szCs w:val="26"/>
        </w:rPr>
        <w:t>Коскович</w:t>
      </w:r>
      <w:proofErr w:type="spellEnd"/>
      <w:r w:rsidR="00483142" w:rsidRPr="002C726D">
        <w:rPr>
          <w:rFonts w:ascii="Liberation Serif" w:hAnsi="Liberation Serif"/>
          <w:sz w:val="26"/>
          <w:szCs w:val="26"/>
        </w:rPr>
        <w:t xml:space="preserve">, № 13, с 3 м до 1 м, со стороны земельного участка с кадастровым номером 66:15:150107:179, расположенного по адресу: Свердловская область, город Невьянск, улица </w:t>
      </w:r>
      <w:proofErr w:type="spellStart"/>
      <w:r w:rsidR="00483142" w:rsidRPr="002C726D">
        <w:rPr>
          <w:rFonts w:ascii="Liberation Serif" w:hAnsi="Liberation Serif"/>
          <w:sz w:val="26"/>
          <w:szCs w:val="26"/>
        </w:rPr>
        <w:t>Коскович</w:t>
      </w:r>
      <w:proofErr w:type="spellEnd"/>
      <w:r w:rsidR="00483142" w:rsidRPr="002C726D">
        <w:rPr>
          <w:rFonts w:ascii="Liberation Serif" w:hAnsi="Liberation Serif"/>
          <w:sz w:val="26"/>
          <w:szCs w:val="26"/>
        </w:rPr>
        <w:t>, № 17, с 3 м до 1 м</w:t>
      </w:r>
      <w:r w:rsidR="0058544E" w:rsidRPr="002C726D">
        <w:rPr>
          <w:rFonts w:ascii="Liberation Serif" w:hAnsi="Liberation Serif"/>
          <w:sz w:val="26"/>
          <w:szCs w:val="26"/>
        </w:rPr>
        <w:t>.</w:t>
      </w:r>
    </w:p>
    <w:p w:rsidR="0058544E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на </w:t>
      </w:r>
      <w:r w:rsidR="002C726D" w:rsidRPr="002C726D">
        <w:rPr>
          <w:rFonts w:ascii="Liberation Serif" w:hAnsi="Liberation Serif"/>
          <w:sz w:val="26"/>
          <w:szCs w:val="26"/>
        </w:rPr>
        <w:t xml:space="preserve">исполняющего обязанности </w:t>
      </w:r>
      <w:r w:rsidRPr="002C726D">
        <w:rPr>
          <w:rFonts w:ascii="Liberation Serif" w:hAnsi="Liberation Serif"/>
          <w:sz w:val="26"/>
          <w:szCs w:val="26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2C726D" w:rsidRPr="002C726D"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 w:rsidR="002C726D" w:rsidRPr="002C726D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2C726D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C726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63D2"/>
    <w:rsid w:val="00764A6F"/>
    <w:rsid w:val="00775DC7"/>
    <w:rsid w:val="00776C3C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A59C8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F79F-BB8B-4CF2-B403-EFCE5F7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16</cp:revision>
  <cp:lastPrinted>2020-10-19T04:41:00Z</cp:lastPrinted>
  <dcterms:created xsi:type="dcterms:W3CDTF">2017-01-13T03:14:00Z</dcterms:created>
  <dcterms:modified xsi:type="dcterms:W3CDTF">2020-11-27T07:49:00Z</dcterms:modified>
</cp:coreProperties>
</file>