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 xml:space="preserve">Актуальная редакция от </w:t>
      </w:r>
      <w:proofErr w:type="gramStart"/>
      <w:r w:rsidR="00E66DE4">
        <w:rPr>
          <w:rFonts w:ascii="Liberation Serif" w:hAnsi="Liberation Serif"/>
          <w:sz w:val="28"/>
          <w:szCs w:val="28"/>
          <w:highlight w:val="yellow"/>
          <w:lang w:val="en-US"/>
        </w:rPr>
        <w:t>20</w:t>
      </w:r>
      <w:r w:rsidR="00E66DE4">
        <w:rPr>
          <w:rFonts w:ascii="Liberation Serif" w:hAnsi="Liberation Serif"/>
          <w:sz w:val="28"/>
          <w:szCs w:val="28"/>
          <w:highlight w:val="yellow"/>
        </w:rPr>
        <w:t>.10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.</w:t>
      </w:r>
      <w:r w:rsidR="007F6D3F">
        <w:rPr>
          <w:rFonts w:ascii="Liberation Serif" w:hAnsi="Liberation Serif"/>
          <w:sz w:val="28"/>
          <w:szCs w:val="28"/>
          <w:highlight w:val="yellow"/>
        </w:rPr>
        <w:t>2021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  №</w:t>
      </w:r>
      <w:proofErr w:type="gramEnd"/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E66DE4">
        <w:rPr>
          <w:rFonts w:ascii="Liberation Serif" w:hAnsi="Liberation Serif"/>
          <w:sz w:val="28"/>
          <w:szCs w:val="28"/>
          <w:highlight w:val="yellow"/>
        </w:rPr>
        <w:t>1694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-п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85792A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1">
            <v:imagedata r:id="rId5" o:title=""/>
          </v:shape>
          <o:OLEObject Type="Embed" ProgID="Word.Picture.8" ShapeID="_x0000_s1026" DrawAspect="Content" ObjectID="_1696319397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383A82">
          <w:rPr>
            <w:rFonts w:ascii="Liberation Serif" w:hAnsi="Liberation Serif"/>
            <w:b/>
            <w:sz w:val="24"/>
            <w:szCs w:val="24"/>
          </w:rPr>
          <w:t>АДМИНИСТРАЦИЯ  НЕВЬЯНСКОГО</w:t>
        </w:r>
        <w:proofErr w:type="gramEnd"/>
        <w:r w:rsidRPr="00383A82">
          <w:rPr>
            <w:rFonts w:ascii="Liberation Serif" w:hAnsi="Liberation Serif"/>
            <w:b/>
            <w:sz w:val="24"/>
            <w:szCs w:val="24"/>
          </w:rPr>
          <w:t xml:space="preserve">  ГОРОДСКОГО ОКРУГА</w:t>
        </w:r>
      </w:smartTag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85792A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pict>
          <v:line id="Прямая соединительная линия 4" o:spid="_x0000_s1027" style="position:absolute;left:0;text-align:left;flip:y;z-index:2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до 2024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sz w:val="28"/>
          <w:szCs w:val="28"/>
        </w:rPr>
        <w:t>Новое качество жизни жителей  Невьянского городского округа до 2024 года»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383A82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Pr="00383A82" w:rsidRDefault="00BA2C3E" w:rsidP="002D3572">
      <w:pPr>
        <w:rPr>
          <w:rFonts w:ascii="Liberation Serif" w:hAnsi="Liberation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«Новое качество жизни жителей Невьянского городского округа до 2024 года»</w:t>
            </w:r>
          </w:p>
        </w:tc>
      </w:tr>
      <w:tr w:rsidR="00BA2C3E" w:rsidRPr="00383A82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383A82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201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6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202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4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383A82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383A82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</w:p>
        </w:tc>
      </w:tr>
      <w:tr w:rsidR="00BA2C3E" w:rsidRPr="00383A82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проти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водействия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терроризму и экстремизму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10. Охват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скрининговыми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обследованиями населения на ВИЧ-инфекцию, не менее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BA2C3E" w:rsidRPr="00383A82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BA2C3E" w:rsidRPr="00383A82" w:rsidRDefault="00BA2C3E" w:rsidP="004611E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383A82" w:rsidRPr="007F6D3F" w:rsidRDefault="00E66DE4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  <w:highlight w:val="yellow"/>
              </w:rPr>
              <w:t>105 000, 56</w:t>
            </w:r>
            <w:r w:rsidR="00383A82"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тыс. рублей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2016 год – 7 786,53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2017 год – </w:t>
            </w:r>
            <w:r w:rsidRPr="007F6D3F">
              <w:rPr>
                <w:rFonts w:ascii="Liberation Serif" w:hAnsi="Liberation Serif"/>
                <w:bCs/>
                <w:sz w:val="28"/>
                <w:szCs w:val="28"/>
                <w:highlight w:val="yellow"/>
              </w:rPr>
              <w:t xml:space="preserve">9 945,07 </w:t>
            </w: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2018 год – 8 046,20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2019 год – 57 631,64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5 203,84 тыс. рублей,</w:t>
            </w:r>
          </w:p>
          <w:p w:rsidR="00383A82" w:rsidRPr="007F6D3F" w:rsidRDefault="00E66DE4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5 749,52</w:t>
            </w:r>
            <w:r w:rsidR="00383A82"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5 269,70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lastRenderedPageBreak/>
              <w:t>2023 год – 5 368,06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0,00 тыс. рублей.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383A82" w:rsidRPr="007F6D3F" w:rsidRDefault="00E66DE4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  <w:highlight w:val="yellow"/>
              </w:rPr>
              <w:t>105 000, 56</w:t>
            </w: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="00383A82"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тыс. рублей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2016 год – 7 786,53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2017 год – </w:t>
            </w:r>
            <w:r w:rsidRPr="007F6D3F">
              <w:rPr>
                <w:rFonts w:ascii="Liberation Serif" w:hAnsi="Liberation Serif"/>
                <w:bCs/>
                <w:sz w:val="28"/>
                <w:szCs w:val="28"/>
                <w:highlight w:val="yellow"/>
              </w:rPr>
              <w:t>9 945,07</w:t>
            </w: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2018 год – 8 046,20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2019 год – 57 631,64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5 203,84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</w:t>
            </w:r>
            <w:r w:rsidR="0085792A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="0085792A">
              <w:rPr>
                <w:rFonts w:ascii="Liberation Serif" w:hAnsi="Liberation Serif"/>
                <w:sz w:val="28"/>
                <w:szCs w:val="28"/>
                <w:highlight w:val="yellow"/>
              </w:rPr>
              <w:t>5 749,52</w:t>
            </w:r>
            <w:r w:rsidR="0085792A"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bookmarkStart w:id="0" w:name="_GoBack"/>
            <w:bookmarkEnd w:id="0"/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5 269,70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5 368,06 тыс. рублей,</w:t>
            </w:r>
          </w:p>
          <w:p w:rsidR="00383A82" w:rsidRPr="00383A82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0,00 тыс. рублей.</w:t>
            </w:r>
          </w:p>
          <w:p w:rsidR="00383A82" w:rsidRPr="00383A82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http://nevyansk66.ru/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</w:tbl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383A82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1. «Информационное общество Невьянского городского округа» на 2016-2024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 телекоммуникационных технологий.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информационных и телекоммуникационных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государственной власти, повышение качества и оперативности </w:t>
      </w:r>
      <w:r w:rsidRPr="00383A82">
        <w:rPr>
          <w:rFonts w:ascii="Liberation Serif" w:hAnsi="Liberation Serif"/>
          <w:sz w:val="28"/>
          <w:szCs w:val="28"/>
        </w:rPr>
        <w:lastRenderedPageBreak/>
        <w:t xml:space="preserve">предоставления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государственных услуг.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2.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</w:t>
      </w:r>
      <w:r w:rsidRPr="00383A82">
        <w:rPr>
          <w:rFonts w:ascii="Liberation Serif" w:hAnsi="Liberation Serif"/>
          <w:sz w:val="28"/>
          <w:szCs w:val="28"/>
        </w:rPr>
        <w:lastRenderedPageBreak/>
        <w:t>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ab/>
      </w:r>
      <w:r w:rsidRPr="00383A82">
        <w:rPr>
          <w:rFonts w:ascii="Liberation Serif" w:hAnsi="Liberation Serif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383A82" w:rsidRDefault="00BA2C3E" w:rsidP="002D357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- охват </w:t>
      </w:r>
      <w:proofErr w:type="spellStart"/>
      <w:r w:rsidRPr="00383A82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ВИЧ(+) – 95 %;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Увеличение оборота наркотических средств и </w:t>
      </w:r>
      <w:proofErr w:type="spellStart"/>
      <w:r w:rsidRPr="00383A82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383A82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83A82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0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lastRenderedPageBreak/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</w:t>
      </w:r>
      <w:proofErr w:type="spellStart"/>
      <w:r w:rsidRPr="00383A82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383A82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383A82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383A82">
        <w:rPr>
          <w:rFonts w:ascii="Liberation Serif" w:hAnsi="Liberation Serif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 на 2016 -  2024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383A82" w:rsidRDefault="00BA2C3E" w:rsidP="002D3572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0"/>
        </w:rPr>
        <w:t>Подпрограмма 5. «Обеспечение безопасности дорожного движения»</w:t>
      </w:r>
      <w:r w:rsidRPr="00383A82">
        <w:rPr>
          <w:rFonts w:ascii="Liberation Serif" w:hAnsi="Liberation Serif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lastRenderedPageBreak/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Основными причинами происшествий явились: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управление транспортным средством в состоянии алкогольного опьянения;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несоблюдение очередности проезда;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выезд на полосу встречного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проезд перекрестка на запрещающий сигнал светофора;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2. Нарушение Правил дорожного движения пешеходами: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вне зоны пешеходного перехода;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хождение по проезжей части, при наличии тротуара;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 неустановленном месте.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</w:t>
      </w:r>
      <w:proofErr w:type="spellStart"/>
      <w:r w:rsidRPr="00383A82">
        <w:rPr>
          <w:rFonts w:ascii="Liberation Serif" w:hAnsi="Liberation Serif"/>
          <w:sz w:val="28"/>
          <w:szCs w:val="20"/>
        </w:rPr>
        <w:t>г.Невьянска</w:t>
      </w:r>
      <w:proofErr w:type="spellEnd"/>
      <w:r w:rsidRPr="00383A82">
        <w:rPr>
          <w:rFonts w:ascii="Liberation Serif" w:hAnsi="Liberation Serif"/>
          <w:sz w:val="28"/>
          <w:szCs w:val="20"/>
        </w:rPr>
        <w:t>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План мероприятий по выполнению муниципальной программы приведен </w:t>
      </w:r>
      <w:r w:rsidRPr="00383A82">
        <w:rPr>
          <w:rFonts w:ascii="Liberation Serif" w:hAnsi="Liberation Serif"/>
          <w:sz w:val="28"/>
          <w:szCs w:val="28"/>
        </w:rPr>
        <w:lastRenderedPageBreak/>
        <w:t>в приложении № 2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383A82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  <w:r w:rsidRPr="00383A82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1"/>
    <w:rsid w:val="000E0AFE"/>
    <w:rsid w:val="00133B3E"/>
    <w:rsid w:val="001D32BF"/>
    <w:rsid w:val="001F520D"/>
    <w:rsid w:val="001F6BF0"/>
    <w:rsid w:val="00211FB8"/>
    <w:rsid w:val="002D3572"/>
    <w:rsid w:val="002F3AB6"/>
    <w:rsid w:val="00383A82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1114"/>
    <w:rsid w:val="005A0BF1"/>
    <w:rsid w:val="005D3C31"/>
    <w:rsid w:val="00695E4F"/>
    <w:rsid w:val="006A537F"/>
    <w:rsid w:val="007E0AF7"/>
    <w:rsid w:val="007F6D3F"/>
    <w:rsid w:val="00841623"/>
    <w:rsid w:val="008539F2"/>
    <w:rsid w:val="0085792A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984A2B"/>
    <w:rsid w:val="00A41A43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66DE4"/>
    <w:rsid w:val="00EB7FC7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0F9F4641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V. Pyankova</cp:lastModifiedBy>
  <cp:revision>18</cp:revision>
  <dcterms:created xsi:type="dcterms:W3CDTF">2019-07-05T03:11:00Z</dcterms:created>
  <dcterms:modified xsi:type="dcterms:W3CDTF">2021-10-21T06:04:00Z</dcterms:modified>
</cp:coreProperties>
</file>