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7" w:type="dxa"/>
        <w:tblLayout w:type="fixed"/>
        <w:tblLook w:val="01E0"/>
      </w:tblPr>
      <w:tblGrid>
        <w:gridCol w:w="236"/>
        <w:gridCol w:w="12"/>
        <w:gridCol w:w="220"/>
        <w:gridCol w:w="1601"/>
        <w:gridCol w:w="236"/>
        <w:gridCol w:w="1403"/>
        <w:gridCol w:w="431"/>
        <w:gridCol w:w="1438"/>
        <w:gridCol w:w="4990"/>
      </w:tblGrid>
      <w:tr w:rsidR="003715DB" w:rsidRPr="00B972E1" w:rsidTr="00E11FDE">
        <w:trPr>
          <w:cantSplit/>
          <w:trHeight w:val="964"/>
        </w:trPr>
        <w:tc>
          <w:tcPr>
            <w:tcW w:w="4139" w:type="dxa"/>
            <w:gridSpan w:val="7"/>
          </w:tcPr>
          <w:p w:rsidR="003715DB" w:rsidRPr="00B972E1" w:rsidRDefault="00AB40D7" w:rsidP="00E11FDE">
            <w:pPr>
              <w:ind w:left="-112" w:right="-109"/>
              <w:jc w:val="center"/>
              <w:rPr>
                <w:caps w:val="0"/>
              </w:rPr>
            </w:pPr>
            <w:r w:rsidRPr="00B972E1">
              <w:rPr>
                <w:caps w:val="0"/>
              </w:rPr>
              <w:object w:dxaOrig="2385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pt" o:ole="">
                  <v:imagedata r:id="rId7" o:title="" cropleft="18283f"/>
                </v:shape>
                <o:OLEObject Type="Embed" ProgID="Word.Picture.8" ShapeID="_x0000_i1025" DrawAspect="Content" ObjectID="_1488626757" r:id="rId8"/>
              </w:object>
            </w:r>
          </w:p>
        </w:tc>
        <w:tc>
          <w:tcPr>
            <w:tcW w:w="1438" w:type="dxa"/>
            <w:vMerge w:val="restart"/>
          </w:tcPr>
          <w:p w:rsidR="003715DB" w:rsidRPr="00B972E1" w:rsidRDefault="003715DB" w:rsidP="00A46407">
            <w:pPr>
              <w:rPr>
                <w:caps w:val="0"/>
              </w:rPr>
            </w:pPr>
          </w:p>
        </w:tc>
        <w:tc>
          <w:tcPr>
            <w:tcW w:w="4990" w:type="dxa"/>
          </w:tcPr>
          <w:p w:rsidR="003715DB" w:rsidRPr="00B972E1" w:rsidRDefault="003715DB" w:rsidP="00E11FDE">
            <w:pPr>
              <w:ind w:left="-106"/>
              <w:rPr>
                <w:caps w:val="0"/>
              </w:rPr>
            </w:pPr>
          </w:p>
        </w:tc>
      </w:tr>
      <w:tr w:rsidR="00A64FC6" w:rsidRPr="00B972E1" w:rsidTr="00E11FDE">
        <w:trPr>
          <w:cantSplit/>
          <w:trHeight w:val="1928"/>
        </w:trPr>
        <w:tc>
          <w:tcPr>
            <w:tcW w:w="4139" w:type="dxa"/>
            <w:gridSpan w:val="7"/>
          </w:tcPr>
          <w:p w:rsidR="00A776A3" w:rsidRPr="00AD77A7" w:rsidRDefault="005741BE" w:rsidP="00E11FDE">
            <w:pPr>
              <w:ind w:left="-112" w:right="-109"/>
              <w:jc w:val="center"/>
              <w:rPr>
                <w:rFonts w:ascii="Arial" w:hAnsi="Arial" w:cs="Arial"/>
                <w:bCs/>
                <w:caps w:val="0"/>
                <w:sz w:val="28"/>
                <w:szCs w:val="28"/>
              </w:rPr>
            </w:pPr>
            <w:r w:rsidRPr="00B972E1">
              <w:rPr>
                <w:rFonts w:ascii="Arial" w:hAnsi="Arial" w:cs="Arial"/>
                <w:bCs/>
                <w:caps w:val="0"/>
                <w:sz w:val="28"/>
                <w:szCs w:val="28"/>
              </w:rPr>
              <w:t xml:space="preserve">Финансовое управление администрации </w:t>
            </w:r>
          </w:p>
          <w:p w:rsidR="00A64FC6" w:rsidRPr="00B972E1" w:rsidRDefault="005741BE" w:rsidP="00E11FDE">
            <w:pPr>
              <w:ind w:left="-112" w:right="-109"/>
              <w:jc w:val="center"/>
              <w:rPr>
                <w:rFonts w:ascii="Arial" w:hAnsi="Arial" w:cs="Arial"/>
                <w:bCs/>
                <w:caps w:val="0"/>
                <w:sz w:val="28"/>
                <w:szCs w:val="28"/>
              </w:rPr>
            </w:pPr>
            <w:proofErr w:type="spellStart"/>
            <w:r w:rsidRPr="00B972E1">
              <w:rPr>
                <w:rFonts w:ascii="Arial" w:hAnsi="Arial" w:cs="Arial"/>
                <w:bCs/>
                <w:caps w:val="0"/>
                <w:sz w:val="28"/>
                <w:szCs w:val="28"/>
              </w:rPr>
              <w:t>Невьянского</w:t>
            </w:r>
            <w:proofErr w:type="spellEnd"/>
            <w:r w:rsidRPr="00B972E1">
              <w:rPr>
                <w:rFonts w:ascii="Arial" w:hAnsi="Arial" w:cs="Arial"/>
                <w:bCs/>
                <w:caps w:val="0"/>
                <w:sz w:val="28"/>
                <w:szCs w:val="28"/>
              </w:rPr>
              <w:t xml:space="preserve"> городского округа</w:t>
            </w:r>
          </w:p>
          <w:p w:rsidR="00A64FC6" w:rsidRPr="00B972E1" w:rsidRDefault="00A64FC6" w:rsidP="00E11FDE">
            <w:pPr>
              <w:ind w:left="-112" w:right="-109"/>
              <w:jc w:val="center"/>
              <w:rPr>
                <w:rFonts w:ascii="Arial" w:hAnsi="Arial" w:cs="Arial"/>
                <w:caps w:val="0"/>
                <w:w w:val="95"/>
                <w:szCs w:val="24"/>
              </w:rPr>
            </w:pPr>
            <w:r w:rsidRPr="00B972E1">
              <w:rPr>
                <w:rFonts w:ascii="Arial" w:hAnsi="Arial" w:cs="Arial"/>
                <w:bCs/>
                <w:caps w:val="0"/>
                <w:w w:val="95"/>
                <w:szCs w:val="24"/>
              </w:rPr>
              <w:t xml:space="preserve">(ФУ администрации </w:t>
            </w:r>
            <w:proofErr w:type="spellStart"/>
            <w:r w:rsidRPr="00B972E1">
              <w:rPr>
                <w:rFonts w:ascii="Arial" w:hAnsi="Arial" w:cs="Arial"/>
                <w:bCs/>
                <w:caps w:val="0"/>
                <w:w w:val="95"/>
                <w:szCs w:val="24"/>
              </w:rPr>
              <w:t>Невьянского</w:t>
            </w:r>
            <w:proofErr w:type="spellEnd"/>
            <w:r w:rsidRPr="00B972E1">
              <w:rPr>
                <w:rFonts w:ascii="Arial" w:hAnsi="Arial" w:cs="Arial"/>
                <w:bCs/>
                <w:caps w:val="0"/>
                <w:w w:val="95"/>
                <w:szCs w:val="24"/>
              </w:rPr>
              <w:t xml:space="preserve"> ГО)</w:t>
            </w:r>
          </w:p>
          <w:p w:rsidR="00A64FC6" w:rsidRPr="00B972E1" w:rsidRDefault="00A64FC6" w:rsidP="00E11FDE">
            <w:pPr>
              <w:spacing w:before="120" w:after="60"/>
              <w:jc w:val="center"/>
              <w:rPr>
                <w:rFonts w:ascii="Arial" w:hAnsi="Arial" w:cs="Arial"/>
                <w:caps w:val="0"/>
                <w:w w:val="90"/>
                <w:szCs w:val="24"/>
              </w:rPr>
            </w:pPr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t>Кирова ул., д.1, г. Невьянск, 624192</w:t>
            </w:r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br/>
              <w:t>тел. (34356) 21480 / Факс (34356) 21473</w:t>
            </w:r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br/>
            </w:r>
            <w:proofErr w:type="spellStart"/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t>E-mail</w:t>
            </w:r>
            <w:proofErr w:type="spellEnd"/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t>: fuvngo@gmail.com</w:t>
            </w:r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br/>
              <w:t xml:space="preserve">ОКПО </w:t>
            </w:r>
            <w:r w:rsidR="00BA567C"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t>69048859</w:t>
            </w:r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t>, ОГРН 1106621000595,</w:t>
            </w:r>
            <w:r w:rsidRPr="00B972E1">
              <w:rPr>
                <w:rFonts w:ascii="Arial" w:hAnsi="Arial" w:cs="Arial"/>
                <w:bCs/>
                <w:caps w:val="0"/>
                <w:spacing w:val="6"/>
                <w:sz w:val="18"/>
                <w:szCs w:val="18"/>
              </w:rPr>
              <w:br/>
              <w:t>ИНН/КПП 6621017625/662101001</w:t>
            </w:r>
          </w:p>
        </w:tc>
        <w:tc>
          <w:tcPr>
            <w:tcW w:w="1438" w:type="dxa"/>
            <w:vMerge/>
          </w:tcPr>
          <w:p w:rsidR="00A64FC6" w:rsidRPr="00B972E1" w:rsidRDefault="00A64FC6" w:rsidP="00A46407">
            <w:pPr>
              <w:rPr>
                <w:caps w:val="0"/>
              </w:rPr>
            </w:pPr>
          </w:p>
        </w:tc>
        <w:tc>
          <w:tcPr>
            <w:tcW w:w="4990" w:type="dxa"/>
            <w:vMerge w:val="restart"/>
          </w:tcPr>
          <w:p w:rsidR="007A2728" w:rsidRPr="00B972E1" w:rsidRDefault="00FC39C3" w:rsidP="00A92104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B972E1">
              <w:rPr>
                <w:sz w:val="26"/>
              </w:rPr>
              <w:fldChar w:fldCharType="begin"/>
            </w:r>
            <w:r w:rsidR="00751638" w:rsidRPr="00B972E1">
              <w:rPr>
                <w:sz w:val="26"/>
              </w:rPr>
              <w:instrText xml:space="preserve"> FILLIN "Кому отписывать будем?" \* MERGEFORMAT </w:instrText>
            </w:r>
            <w:r w:rsidRPr="00B972E1">
              <w:rPr>
                <w:sz w:val="26"/>
              </w:rPr>
              <w:fldChar w:fldCharType="separate"/>
            </w:r>
            <w:r w:rsidR="002307B1">
              <w:rPr>
                <w:sz w:val="26"/>
              </w:rPr>
              <w:t xml:space="preserve">Председателю Думы </w:t>
            </w:r>
            <w:proofErr w:type="spellStart"/>
            <w:r w:rsidR="002307B1">
              <w:rPr>
                <w:sz w:val="26"/>
              </w:rPr>
              <w:t>Невьянского</w:t>
            </w:r>
            <w:proofErr w:type="spellEnd"/>
            <w:r w:rsidR="002307B1">
              <w:rPr>
                <w:sz w:val="26"/>
              </w:rPr>
              <w:t xml:space="preserve"> городского округа</w:t>
            </w:r>
            <w:r w:rsidR="002307B1">
              <w:rPr>
                <w:sz w:val="26"/>
              </w:rPr>
              <w:br/>
              <w:t xml:space="preserve">А. А. </w:t>
            </w:r>
            <w:proofErr w:type="spellStart"/>
            <w:r w:rsidR="002307B1">
              <w:rPr>
                <w:sz w:val="26"/>
              </w:rPr>
              <w:t>Берчуку</w:t>
            </w:r>
            <w:proofErr w:type="spellEnd"/>
            <w:r w:rsidRPr="00B972E1">
              <w:rPr>
                <w:sz w:val="26"/>
              </w:rPr>
              <w:fldChar w:fldCharType="end"/>
            </w:r>
          </w:p>
          <w:p w:rsidR="00A64FC6" w:rsidRPr="00B972E1" w:rsidRDefault="00FC39C3" w:rsidP="00E11FDE">
            <w:pPr>
              <w:pStyle w:val="XXL0"/>
              <w:spacing w:line="288" w:lineRule="auto"/>
              <w:rPr>
                <w:sz w:val="26"/>
              </w:rPr>
            </w:pPr>
            <w:r w:rsidRPr="00B972E1">
              <w:rPr>
                <w:sz w:val="26"/>
              </w:rPr>
              <w:fldChar w:fldCharType="begin"/>
            </w:r>
            <w:r w:rsidR="00A64FC6" w:rsidRPr="00B972E1">
              <w:rPr>
                <w:sz w:val="26"/>
              </w:rPr>
              <w:instrText xml:space="preserve"> FILLIN  Адресат: \o  \* MERGEFORMAT </w:instrText>
            </w:r>
            <w:r w:rsidRPr="00B972E1">
              <w:rPr>
                <w:sz w:val="26"/>
              </w:rPr>
              <w:fldChar w:fldCharType="end"/>
            </w:r>
          </w:p>
        </w:tc>
      </w:tr>
      <w:tr w:rsidR="003715DB" w:rsidRPr="00B972E1" w:rsidTr="00E11FDE">
        <w:trPr>
          <w:cantSplit/>
          <w:trHeight w:val="397"/>
        </w:trPr>
        <w:tc>
          <w:tcPr>
            <w:tcW w:w="236" w:type="dxa"/>
            <w:vAlign w:val="bottom"/>
          </w:tcPr>
          <w:p w:rsidR="003715DB" w:rsidRPr="00B972E1" w:rsidRDefault="003715DB" w:rsidP="00E11FDE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18"/>
              </w:rPr>
            </w:pPr>
            <w:r w:rsidRPr="00B972E1">
              <w:rPr>
                <w:rFonts w:ascii="Arial" w:hAnsi="Arial" w:cs="Arial"/>
                <w:bCs/>
                <w:caps w:val="0"/>
                <w:sz w:val="18"/>
              </w:rPr>
              <w:t>от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vAlign w:val="center"/>
          </w:tcPr>
          <w:p w:rsidR="003715DB" w:rsidRPr="00B972E1" w:rsidRDefault="00C820D6" w:rsidP="00C820D6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aps w:val="0"/>
                <w:sz w:val="20"/>
              </w:rPr>
              <w:t>30</w:t>
            </w:r>
            <w:r w:rsidR="00FC39C3" w:rsidRPr="00B972E1">
              <w:rPr>
                <w:rFonts w:ascii="Arial" w:hAnsi="Arial" w:cs="Arial"/>
                <w:bCs/>
                <w:caps w:val="0"/>
                <w:sz w:val="20"/>
                <w:lang w:val="en-US"/>
              </w:rPr>
              <w:fldChar w:fldCharType="begin"/>
            </w:r>
            <w:r w:rsidR="00176A9A" w:rsidRPr="00B972E1">
              <w:rPr>
                <w:rFonts w:ascii="Arial" w:hAnsi="Arial" w:cs="Arial"/>
                <w:bCs/>
                <w:caps w:val="0"/>
                <w:sz w:val="20"/>
                <w:lang w:val="en-US"/>
              </w:rPr>
              <w:instrText xml:space="preserve"> CREATEDATE  \@ "DD.MM.YYYY 'г.'"  \* MERGEFORMAT </w:instrText>
            </w:r>
            <w:r w:rsidR="00FC39C3" w:rsidRPr="00B972E1">
              <w:rPr>
                <w:rFonts w:ascii="Arial" w:hAnsi="Arial" w:cs="Arial"/>
                <w:bCs/>
                <w:caps w:val="0"/>
                <w:sz w:val="20"/>
                <w:lang w:val="en-US"/>
              </w:rPr>
              <w:fldChar w:fldCharType="separate"/>
            </w:r>
            <w:r w:rsidR="002307B1">
              <w:rPr>
                <w:rFonts w:ascii="Arial" w:hAnsi="Arial" w:cs="Arial"/>
                <w:bCs/>
                <w:caps w:val="0"/>
                <w:noProof/>
                <w:sz w:val="20"/>
                <w:lang w:val="en-US"/>
              </w:rPr>
              <w:t>.09.2014 г.</w:t>
            </w:r>
            <w:r w:rsidR="00FC39C3" w:rsidRPr="00B972E1">
              <w:rPr>
                <w:rFonts w:ascii="Arial" w:hAnsi="Arial" w:cs="Arial"/>
                <w:bCs/>
                <w:caps w:val="0"/>
                <w:sz w:val="20"/>
                <w:lang w:val="en-US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3715DB" w:rsidRPr="00B972E1" w:rsidRDefault="003715DB" w:rsidP="00E11FDE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18"/>
              </w:rPr>
            </w:pPr>
            <w:r w:rsidRPr="00B972E1">
              <w:rPr>
                <w:rFonts w:ascii="Arial" w:hAnsi="Arial" w:cs="Arial"/>
                <w:bCs/>
                <w:caps w:val="0"/>
                <w:sz w:val="18"/>
              </w:rPr>
              <w:t>№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3715DB" w:rsidRPr="00B972E1" w:rsidRDefault="00570ED5" w:rsidP="00E11FDE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aps w:val="0"/>
                <w:sz w:val="20"/>
              </w:rPr>
              <w:t>484</w:t>
            </w:r>
            <w:r w:rsidR="00FC39C3" w:rsidRPr="00B972E1">
              <w:rPr>
                <w:rFonts w:ascii="Arial" w:hAnsi="Arial" w:cs="Arial"/>
                <w:bCs/>
                <w:caps w:val="0"/>
                <w:sz w:val="20"/>
                <w:lang w:val="en-US"/>
              </w:rPr>
              <w:fldChar w:fldCharType="begin"/>
            </w:r>
            <w:r w:rsidR="002A1330" w:rsidRPr="00B972E1">
              <w:rPr>
                <w:rFonts w:ascii="Arial" w:hAnsi="Arial" w:cs="Arial"/>
                <w:bCs/>
                <w:caps w:val="0"/>
                <w:sz w:val="20"/>
                <w:lang w:val="en-US"/>
              </w:rPr>
              <w:instrText xml:space="preserve"> FILLIN  "Номер исходящего документа:"  \* MERGEFORMAT </w:instrText>
            </w:r>
            <w:r w:rsidR="00FC39C3" w:rsidRPr="00B972E1">
              <w:rPr>
                <w:rFonts w:ascii="Arial" w:hAnsi="Arial" w:cs="Arial"/>
                <w:bCs/>
                <w:caps w:val="0"/>
                <w:sz w:val="20"/>
                <w:lang w:val="en-US"/>
              </w:rPr>
              <w:fldChar w:fldCharType="end"/>
            </w:r>
          </w:p>
        </w:tc>
        <w:tc>
          <w:tcPr>
            <w:tcW w:w="1438" w:type="dxa"/>
            <w:vMerge/>
          </w:tcPr>
          <w:p w:rsidR="003715DB" w:rsidRPr="00B972E1" w:rsidRDefault="003715DB" w:rsidP="00A46407">
            <w:pPr>
              <w:rPr>
                <w:caps w:val="0"/>
              </w:rPr>
            </w:pPr>
          </w:p>
        </w:tc>
        <w:tc>
          <w:tcPr>
            <w:tcW w:w="4990" w:type="dxa"/>
            <w:vMerge/>
          </w:tcPr>
          <w:p w:rsidR="003715DB" w:rsidRPr="00B972E1" w:rsidRDefault="003715DB" w:rsidP="00E11FDE">
            <w:pPr>
              <w:ind w:left="-106"/>
              <w:jc w:val="center"/>
              <w:rPr>
                <w:caps w:val="0"/>
              </w:rPr>
            </w:pPr>
          </w:p>
        </w:tc>
      </w:tr>
      <w:tr w:rsidR="003715DB" w:rsidRPr="00B972E1" w:rsidTr="00E11FDE">
        <w:trPr>
          <w:cantSplit/>
          <w:trHeight w:val="397"/>
        </w:trPr>
        <w:tc>
          <w:tcPr>
            <w:tcW w:w="468" w:type="dxa"/>
            <w:gridSpan w:val="3"/>
            <w:vAlign w:val="bottom"/>
          </w:tcPr>
          <w:p w:rsidR="003715DB" w:rsidRPr="00B972E1" w:rsidRDefault="003715DB" w:rsidP="00E11FDE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18"/>
              </w:rPr>
            </w:pPr>
            <w:r w:rsidRPr="00B972E1">
              <w:rPr>
                <w:rFonts w:ascii="Arial" w:hAnsi="Arial" w:cs="Arial"/>
                <w:bCs/>
                <w:caps w:val="0"/>
                <w:sz w:val="18"/>
              </w:rPr>
              <w:t>на №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3715DB" w:rsidRPr="00B972E1" w:rsidRDefault="003715DB" w:rsidP="00E11FDE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20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3715DB" w:rsidRPr="00B972E1" w:rsidRDefault="003715DB" w:rsidP="00E11FDE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18"/>
              </w:rPr>
            </w:pPr>
            <w:r w:rsidRPr="00B972E1">
              <w:rPr>
                <w:rFonts w:ascii="Arial" w:hAnsi="Arial" w:cs="Arial"/>
                <w:bCs/>
                <w:caps w:val="0"/>
                <w:sz w:val="18"/>
              </w:rPr>
              <w:t>от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5DB" w:rsidRPr="00B972E1" w:rsidRDefault="003715DB" w:rsidP="00E11FDE">
            <w:pPr>
              <w:tabs>
                <w:tab w:val="left" w:pos="5400"/>
              </w:tabs>
              <w:ind w:left="-113" w:right="-108"/>
              <w:jc w:val="center"/>
              <w:rPr>
                <w:rFonts w:ascii="Arial" w:hAnsi="Arial" w:cs="Arial"/>
                <w:bCs/>
                <w:caps w:val="0"/>
                <w:sz w:val="20"/>
                <w:lang w:val="en-US"/>
              </w:rPr>
            </w:pPr>
          </w:p>
        </w:tc>
        <w:tc>
          <w:tcPr>
            <w:tcW w:w="1438" w:type="dxa"/>
            <w:vMerge/>
          </w:tcPr>
          <w:p w:rsidR="003715DB" w:rsidRPr="00B972E1" w:rsidRDefault="003715DB" w:rsidP="00A46407">
            <w:pPr>
              <w:rPr>
                <w:caps w:val="0"/>
              </w:rPr>
            </w:pPr>
          </w:p>
        </w:tc>
        <w:tc>
          <w:tcPr>
            <w:tcW w:w="4990" w:type="dxa"/>
            <w:vMerge/>
          </w:tcPr>
          <w:p w:rsidR="003715DB" w:rsidRPr="00B972E1" w:rsidRDefault="003715DB" w:rsidP="00E11FDE">
            <w:pPr>
              <w:ind w:left="-106"/>
              <w:jc w:val="center"/>
              <w:rPr>
                <w:caps w:val="0"/>
              </w:rPr>
            </w:pPr>
          </w:p>
        </w:tc>
      </w:tr>
      <w:tr w:rsidR="003715DB" w:rsidRPr="00B972E1" w:rsidTr="00E11FDE">
        <w:trPr>
          <w:cantSplit/>
          <w:trHeight w:val="454"/>
        </w:trPr>
        <w:tc>
          <w:tcPr>
            <w:tcW w:w="4139" w:type="dxa"/>
            <w:gridSpan w:val="7"/>
          </w:tcPr>
          <w:p w:rsidR="003715DB" w:rsidRPr="00B972E1" w:rsidRDefault="003715DB" w:rsidP="00E11FDE">
            <w:pPr>
              <w:ind w:left="-112" w:right="-109"/>
              <w:rPr>
                <w:rFonts w:ascii="Arial" w:hAnsi="Arial" w:cs="Arial"/>
                <w:caps w:val="0"/>
                <w:sz w:val="12"/>
                <w:szCs w:val="12"/>
              </w:rPr>
            </w:pPr>
          </w:p>
        </w:tc>
        <w:tc>
          <w:tcPr>
            <w:tcW w:w="1438" w:type="dxa"/>
            <w:vMerge/>
          </w:tcPr>
          <w:p w:rsidR="003715DB" w:rsidRPr="00B972E1" w:rsidRDefault="003715DB" w:rsidP="00A46407">
            <w:pPr>
              <w:rPr>
                <w:caps w:val="0"/>
              </w:rPr>
            </w:pPr>
          </w:p>
        </w:tc>
        <w:tc>
          <w:tcPr>
            <w:tcW w:w="4990" w:type="dxa"/>
            <w:vMerge/>
          </w:tcPr>
          <w:p w:rsidR="003715DB" w:rsidRPr="00B972E1" w:rsidRDefault="003715DB" w:rsidP="00E11FDE">
            <w:pPr>
              <w:ind w:left="-106"/>
              <w:rPr>
                <w:caps w:val="0"/>
              </w:rPr>
            </w:pPr>
          </w:p>
        </w:tc>
      </w:tr>
      <w:tr w:rsidR="003715DB" w:rsidRPr="00B972E1" w:rsidTr="00E11FDE">
        <w:trPr>
          <w:cantSplit/>
          <w:trHeight w:val="240"/>
        </w:trPr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15DB" w:rsidRPr="00B972E1" w:rsidRDefault="003715DB" w:rsidP="00E11FDE">
            <w:pPr>
              <w:ind w:left="-112" w:right="-109"/>
              <w:rPr>
                <w:rFonts w:ascii="Arial" w:hAnsi="Arial" w:cs="Arial"/>
                <w:caps w:val="0"/>
                <w:sz w:val="2"/>
                <w:szCs w:val="2"/>
              </w:rPr>
            </w:pPr>
          </w:p>
        </w:tc>
        <w:tc>
          <w:tcPr>
            <w:tcW w:w="3460" w:type="dxa"/>
            <w:gridSpan w:val="4"/>
            <w:vMerge w:val="restart"/>
          </w:tcPr>
          <w:p w:rsidR="003715DB" w:rsidRPr="00C820D6" w:rsidRDefault="00FC39C3" w:rsidP="00E11FDE">
            <w:pPr>
              <w:ind w:left="-112" w:right="-109"/>
              <w:jc w:val="center"/>
              <w:rPr>
                <w:i/>
                <w:caps w:val="0"/>
                <w:sz w:val="20"/>
              </w:rPr>
            </w:pPr>
            <w:fldSimple w:instr=" FILLIN  &quot;О чём письмо-то?&quot; \d &quot;О ...&quot;  \* MERGEFORMAT ">
              <w:r w:rsidR="002307B1" w:rsidRPr="00C820D6">
                <w:rPr>
                  <w:i/>
                  <w:caps w:val="0"/>
                  <w:sz w:val="20"/>
                </w:rPr>
                <w:t>О результатах анализа использования и эффективности налоговых льгот</w:t>
              </w:r>
            </w:fldSimple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5DB" w:rsidRPr="00B972E1" w:rsidRDefault="003715DB" w:rsidP="00E11FDE">
            <w:pPr>
              <w:ind w:left="-112" w:right="-109"/>
              <w:rPr>
                <w:rFonts w:ascii="Arial" w:hAnsi="Arial" w:cs="Arial"/>
                <w:caps w:val="0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3715DB" w:rsidRPr="00B972E1" w:rsidRDefault="003715DB" w:rsidP="00A46407">
            <w:pPr>
              <w:rPr>
                <w:caps w:val="0"/>
              </w:rPr>
            </w:pPr>
          </w:p>
        </w:tc>
        <w:tc>
          <w:tcPr>
            <w:tcW w:w="4990" w:type="dxa"/>
            <w:vMerge/>
          </w:tcPr>
          <w:p w:rsidR="003715DB" w:rsidRPr="00B972E1" w:rsidRDefault="003715DB" w:rsidP="00E11FDE">
            <w:pPr>
              <w:ind w:left="-106"/>
              <w:rPr>
                <w:caps w:val="0"/>
              </w:rPr>
            </w:pPr>
          </w:p>
        </w:tc>
      </w:tr>
      <w:tr w:rsidR="003715DB" w:rsidRPr="00B972E1" w:rsidTr="00E11FDE">
        <w:trPr>
          <w:cantSplit/>
          <w:trHeight w:val="680"/>
        </w:trPr>
        <w:tc>
          <w:tcPr>
            <w:tcW w:w="248" w:type="dxa"/>
            <w:gridSpan w:val="2"/>
          </w:tcPr>
          <w:p w:rsidR="003715DB" w:rsidRPr="00B972E1" w:rsidRDefault="003715DB" w:rsidP="00E11FDE">
            <w:pPr>
              <w:ind w:left="-112" w:right="-109"/>
              <w:rPr>
                <w:rFonts w:ascii="Arial" w:hAnsi="Arial" w:cs="Arial"/>
                <w:caps w:val="0"/>
                <w:sz w:val="2"/>
                <w:szCs w:val="2"/>
              </w:rPr>
            </w:pPr>
          </w:p>
        </w:tc>
        <w:tc>
          <w:tcPr>
            <w:tcW w:w="3460" w:type="dxa"/>
            <w:gridSpan w:val="4"/>
            <w:vMerge/>
          </w:tcPr>
          <w:p w:rsidR="003715DB" w:rsidRPr="00B972E1" w:rsidRDefault="003715DB" w:rsidP="00E11FDE">
            <w:pPr>
              <w:ind w:left="-112" w:right="-109"/>
              <w:rPr>
                <w:rFonts w:ascii="Arial" w:hAnsi="Arial" w:cs="Arial"/>
                <w:caps w:val="0"/>
                <w:sz w:val="20"/>
              </w:rPr>
            </w:pPr>
          </w:p>
        </w:tc>
        <w:tc>
          <w:tcPr>
            <w:tcW w:w="431" w:type="dxa"/>
            <w:shd w:val="clear" w:color="auto" w:fill="auto"/>
          </w:tcPr>
          <w:p w:rsidR="003715DB" w:rsidRPr="00B972E1" w:rsidRDefault="003715DB" w:rsidP="00E11FDE">
            <w:pPr>
              <w:ind w:left="-112" w:right="-109"/>
              <w:rPr>
                <w:rFonts w:ascii="Arial" w:hAnsi="Arial" w:cs="Arial"/>
                <w:caps w:val="0"/>
                <w:sz w:val="20"/>
              </w:rPr>
            </w:pPr>
          </w:p>
        </w:tc>
        <w:tc>
          <w:tcPr>
            <w:tcW w:w="1438" w:type="dxa"/>
            <w:vMerge/>
          </w:tcPr>
          <w:p w:rsidR="003715DB" w:rsidRPr="00B972E1" w:rsidRDefault="003715DB" w:rsidP="00A46407">
            <w:pPr>
              <w:rPr>
                <w:caps w:val="0"/>
              </w:rPr>
            </w:pPr>
          </w:p>
        </w:tc>
        <w:tc>
          <w:tcPr>
            <w:tcW w:w="4990" w:type="dxa"/>
            <w:vMerge/>
          </w:tcPr>
          <w:p w:rsidR="003715DB" w:rsidRPr="00B972E1" w:rsidRDefault="003715DB" w:rsidP="00E11FDE">
            <w:pPr>
              <w:ind w:left="-106"/>
              <w:rPr>
                <w:caps w:val="0"/>
              </w:rPr>
            </w:pPr>
          </w:p>
        </w:tc>
      </w:tr>
    </w:tbl>
    <w:p w:rsidR="00C3284B" w:rsidRPr="00B972E1" w:rsidRDefault="00C3284B" w:rsidP="00EB745B">
      <w:pPr>
        <w:pStyle w:val="XXL"/>
        <w:spacing w:line="240" w:lineRule="auto"/>
        <w:rPr>
          <w:caps w:val="0"/>
          <w:sz w:val="26"/>
          <w:szCs w:val="26"/>
        </w:rPr>
      </w:pPr>
    </w:p>
    <w:p w:rsidR="000E6139" w:rsidRPr="00B972E1" w:rsidRDefault="002307B1" w:rsidP="00EB745B">
      <w:pPr>
        <w:pStyle w:val="XXL"/>
        <w:spacing w:line="240" w:lineRule="auto"/>
        <w:rPr>
          <w:caps w:val="0"/>
          <w:sz w:val="26"/>
          <w:szCs w:val="26"/>
        </w:rPr>
      </w:pPr>
      <w:proofErr w:type="gramStart"/>
      <w:r>
        <w:rPr>
          <w:caps w:val="0"/>
          <w:sz w:val="26"/>
          <w:szCs w:val="26"/>
        </w:rPr>
        <w:t xml:space="preserve">В соответствии с пунктом 2 </w:t>
      </w:r>
      <w:r w:rsidR="00A92104">
        <w:rPr>
          <w:caps w:val="0"/>
          <w:sz w:val="26"/>
          <w:szCs w:val="26"/>
        </w:rPr>
        <w:t xml:space="preserve">Раздела </w:t>
      </w:r>
      <w:r w:rsidR="00A92104">
        <w:rPr>
          <w:caps w:val="0"/>
          <w:sz w:val="26"/>
          <w:szCs w:val="26"/>
          <w:lang w:val="en-US"/>
        </w:rPr>
        <w:t>II</w:t>
      </w:r>
      <w:r w:rsidR="00A92104">
        <w:rPr>
          <w:caps w:val="0"/>
          <w:sz w:val="26"/>
          <w:szCs w:val="26"/>
        </w:rPr>
        <w:t xml:space="preserve"> Плана мероприятий «Дорожной карты» по повышению доходного потенциала </w:t>
      </w:r>
      <w:proofErr w:type="spellStart"/>
      <w:r w:rsidR="00A92104">
        <w:rPr>
          <w:caps w:val="0"/>
          <w:sz w:val="26"/>
          <w:szCs w:val="26"/>
        </w:rPr>
        <w:t>Невьянского</w:t>
      </w:r>
      <w:proofErr w:type="spellEnd"/>
      <w:r w:rsidR="00A92104">
        <w:rPr>
          <w:caps w:val="0"/>
          <w:sz w:val="26"/>
          <w:szCs w:val="26"/>
        </w:rPr>
        <w:t xml:space="preserve"> городского округа на 2014 год и плановый период 2015 и 2016 годов, утвержденного постановлением администрации </w:t>
      </w:r>
      <w:proofErr w:type="spellStart"/>
      <w:r w:rsidR="00A92104">
        <w:rPr>
          <w:caps w:val="0"/>
          <w:sz w:val="26"/>
          <w:szCs w:val="26"/>
        </w:rPr>
        <w:t>Невьянского</w:t>
      </w:r>
      <w:proofErr w:type="spellEnd"/>
      <w:r w:rsidR="00A92104">
        <w:rPr>
          <w:caps w:val="0"/>
          <w:sz w:val="26"/>
          <w:szCs w:val="26"/>
        </w:rPr>
        <w:t xml:space="preserve"> городского округа от 11.04.2014 года № 784-п, ф</w:t>
      </w:r>
      <w:r>
        <w:rPr>
          <w:caps w:val="0"/>
          <w:sz w:val="26"/>
          <w:szCs w:val="26"/>
        </w:rPr>
        <w:t xml:space="preserve">инансовое управление администрации </w:t>
      </w:r>
      <w:proofErr w:type="spellStart"/>
      <w:r>
        <w:rPr>
          <w:caps w:val="0"/>
          <w:sz w:val="26"/>
          <w:szCs w:val="26"/>
        </w:rPr>
        <w:t>Невьянского</w:t>
      </w:r>
      <w:proofErr w:type="spellEnd"/>
      <w:r>
        <w:rPr>
          <w:caps w:val="0"/>
          <w:sz w:val="26"/>
          <w:szCs w:val="26"/>
        </w:rPr>
        <w:t xml:space="preserve"> городского округа предс</w:t>
      </w:r>
      <w:r w:rsidR="00A92104">
        <w:rPr>
          <w:caps w:val="0"/>
          <w:sz w:val="26"/>
          <w:szCs w:val="26"/>
        </w:rPr>
        <w:t xml:space="preserve">тавляет результаты анализа использования и эффективности применения налоговых преференций, предоставленных правовыми актами органов местного самоуправления </w:t>
      </w:r>
      <w:proofErr w:type="spellStart"/>
      <w:r w:rsidR="00A92104">
        <w:rPr>
          <w:caps w:val="0"/>
          <w:sz w:val="26"/>
          <w:szCs w:val="26"/>
        </w:rPr>
        <w:t>Невьянского</w:t>
      </w:r>
      <w:proofErr w:type="spellEnd"/>
      <w:proofErr w:type="gramEnd"/>
      <w:r w:rsidR="00A92104">
        <w:rPr>
          <w:caps w:val="0"/>
          <w:sz w:val="26"/>
          <w:szCs w:val="26"/>
        </w:rPr>
        <w:t xml:space="preserve"> городского округа, за 2013 год, степени их влияния на развитие экономики муниципального образования и отдельных отраслей.</w:t>
      </w:r>
    </w:p>
    <w:p w:rsidR="00EB745B" w:rsidRPr="00B972E1" w:rsidRDefault="00EB745B" w:rsidP="00EB745B">
      <w:pPr>
        <w:pStyle w:val="XXL"/>
        <w:spacing w:line="240" w:lineRule="auto"/>
        <w:rPr>
          <w:caps w:val="0"/>
          <w:sz w:val="26"/>
          <w:szCs w:val="26"/>
        </w:rPr>
      </w:pPr>
    </w:p>
    <w:p w:rsidR="007E5DDC" w:rsidRPr="00B972E1" w:rsidRDefault="007E5DDC" w:rsidP="00EB745B">
      <w:pPr>
        <w:pStyle w:val="XXL"/>
        <w:spacing w:line="240" w:lineRule="auto"/>
        <w:rPr>
          <w:caps w:val="0"/>
          <w:sz w:val="26"/>
          <w:szCs w:val="26"/>
        </w:rPr>
      </w:pPr>
    </w:p>
    <w:p w:rsidR="007E5DDC" w:rsidRPr="00B972E1" w:rsidRDefault="007E5DDC" w:rsidP="00EB745B">
      <w:pPr>
        <w:pStyle w:val="XXL"/>
        <w:spacing w:line="240" w:lineRule="auto"/>
        <w:rPr>
          <w:caps w:val="0"/>
          <w:sz w:val="26"/>
          <w:szCs w:val="26"/>
        </w:rPr>
      </w:pPr>
    </w:p>
    <w:tbl>
      <w:tblPr>
        <w:tblW w:w="5000" w:type="pct"/>
        <w:tblLook w:val="0000"/>
      </w:tblPr>
      <w:tblGrid>
        <w:gridCol w:w="5073"/>
        <w:gridCol w:w="5348"/>
      </w:tblGrid>
      <w:tr w:rsidR="00C3284B" w:rsidRPr="00B972E1" w:rsidTr="007E0CD3">
        <w:tc>
          <w:tcPr>
            <w:tcW w:w="2434" w:type="pct"/>
          </w:tcPr>
          <w:p w:rsidR="00C3284B" w:rsidRPr="00B972E1" w:rsidRDefault="00D10763" w:rsidP="00A92104">
            <w:pPr>
              <w:rPr>
                <w:caps w:val="0"/>
                <w:sz w:val="26"/>
                <w:szCs w:val="28"/>
              </w:rPr>
            </w:pPr>
            <w:r w:rsidRPr="00B972E1">
              <w:rPr>
                <w:caps w:val="0"/>
                <w:sz w:val="26"/>
                <w:szCs w:val="28"/>
              </w:rPr>
              <w:t>Заместитель главы</w:t>
            </w:r>
            <w:r w:rsidR="00A92104">
              <w:rPr>
                <w:caps w:val="0"/>
                <w:sz w:val="26"/>
                <w:szCs w:val="28"/>
              </w:rPr>
              <w:t xml:space="preserve"> администрации по вопросам промышленности, экономики и финансов, </w:t>
            </w:r>
            <w:r w:rsidRPr="00B972E1">
              <w:rPr>
                <w:caps w:val="0"/>
                <w:sz w:val="26"/>
                <w:szCs w:val="28"/>
              </w:rPr>
              <w:t>н</w:t>
            </w:r>
            <w:r w:rsidR="00C3284B" w:rsidRPr="00B972E1">
              <w:rPr>
                <w:caps w:val="0"/>
                <w:sz w:val="26"/>
                <w:szCs w:val="28"/>
              </w:rPr>
              <w:t>ачальник финансового управления</w:t>
            </w:r>
          </w:p>
        </w:tc>
        <w:tc>
          <w:tcPr>
            <w:tcW w:w="2566" w:type="pct"/>
            <w:vAlign w:val="bottom"/>
          </w:tcPr>
          <w:p w:rsidR="00C3284B" w:rsidRPr="00B972E1" w:rsidRDefault="00CD4CFD" w:rsidP="00285FFA">
            <w:pPr>
              <w:pStyle w:val="3"/>
              <w:rPr>
                <w:caps w:val="0"/>
                <w:sz w:val="26"/>
                <w:szCs w:val="28"/>
              </w:rPr>
            </w:pPr>
            <w:r w:rsidRPr="00B972E1">
              <w:rPr>
                <w:caps w:val="0"/>
                <w:sz w:val="26"/>
                <w:szCs w:val="28"/>
              </w:rPr>
              <w:t>А.М. Балашов</w:t>
            </w:r>
          </w:p>
        </w:tc>
      </w:tr>
    </w:tbl>
    <w:p w:rsidR="00E8796F" w:rsidRPr="00B972E1" w:rsidRDefault="00E8796F" w:rsidP="007E0CD3">
      <w:pPr>
        <w:pStyle w:val="XXL"/>
        <w:rPr>
          <w:caps w:val="0"/>
          <w:sz w:val="20"/>
        </w:rPr>
      </w:pPr>
    </w:p>
    <w:p w:rsidR="006F2B47" w:rsidRPr="00B972E1" w:rsidRDefault="00FC39C3" w:rsidP="00343055">
      <w:pPr>
        <w:pStyle w:val="a6"/>
        <w:outlineLvl w:val="0"/>
        <w:rPr>
          <w:caps w:val="0"/>
          <w:sz w:val="20"/>
        </w:rPr>
      </w:pPr>
      <w:fldSimple w:instr=" FILLIN  &quot;Полное Ф.И.О. исполнителя:&quot; \d &quot;Исполнитель: &quot; \o  \* MERGEFORMAT ">
        <w:r w:rsidR="002307B1">
          <w:rPr>
            <w:caps w:val="0"/>
            <w:sz w:val="20"/>
          </w:rPr>
          <w:t>Исполнитель: Кузнецова Т. В.</w:t>
        </w:r>
      </w:fldSimple>
    </w:p>
    <w:p w:rsidR="006F2B47" w:rsidRPr="00B972E1" w:rsidRDefault="00FC39C3" w:rsidP="006F2B47">
      <w:pPr>
        <w:pStyle w:val="a6"/>
        <w:rPr>
          <w:caps w:val="0"/>
          <w:sz w:val="20"/>
        </w:rPr>
      </w:pPr>
      <w:fldSimple w:instr=" FILLIN  &quot;Номер телефона:&quot; \d &quot;Телефон: (34356) &quot; \o  \* MERGEFORMAT ">
        <w:r w:rsidR="002307B1">
          <w:rPr>
            <w:caps w:val="0"/>
            <w:sz w:val="20"/>
          </w:rPr>
          <w:t>Телефон: (34356) 2 27 90</w:t>
        </w:r>
      </w:fldSimple>
    </w:p>
    <w:p w:rsidR="006F2B47" w:rsidRPr="00B972E1" w:rsidRDefault="006F2B47" w:rsidP="007E0CD3">
      <w:pPr>
        <w:pStyle w:val="XXL"/>
        <w:rPr>
          <w:caps w:val="0"/>
          <w:sz w:val="20"/>
        </w:rPr>
      </w:pPr>
    </w:p>
    <w:p w:rsidR="00B972E1" w:rsidRDefault="00B972E1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4A7417" w:rsidRDefault="004A7417">
      <w:pPr>
        <w:pStyle w:val="XXL"/>
        <w:rPr>
          <w:caps w:val="0"/>
          <w:sz w:val="20"/>
        </w:rPr>
      </w:pPr>
    </w:p>
    <w:p w:rsidR="00AD77A7" w:rsidRPr="005E400E" w:rsidRDefault="00AD77A7" w:rsidP="00AD77A7">
      <w:pPr>
        <w:pStyle w:val="XXL"/>
        <w:spacing w:line="240" w:lineRule="auto"/>
        <w:jc w:val="center"/>
        <w:rPr>
          <w:b/>
          <w:i/>
          <w:caps w:val="0"/>
          <w:szCs w:val="28"/>
        </w:rPr>
      </w:pPr>
      <w:r w:rsidRPr="005E400E">
        <w:rPr>
          <w:b/>
          <w:i/>
          <w:caps w:val="0"/>
          <w:szCs w:val="28"/>
        </w:rPr>
        <w:lastRenderedPageBreak/>
        <w:t xml:space="preserve">Результаты анализа использования и эффективности применения налоговых преференций, предоставленных правовыми актами органов местного самоуправления </w:t>
      </w:r>
      <w:proofErr w:type="spellStart"/>
      <w:r w:rsidRPr="005E400E">
        <w:rPr>
          <w:b/>
          <w:i/>
          <w:caps w:val="0"/>
          <w:szCs w:val="28"/>
        </w:rPr>
        <w:t>Невьянского</w:t>
      </w:r>
      <w:proofErr w:type="spellEnd"/>
      <w:r w:rsidRPr="005E400E">
        <w:rPr>
          <w:b/>
          <w:i/>
          <w:caps w:val="0"/>
          <w:szCs w:val="28"/>
        </w:rPr>
        <w:t xml:space="preserve"> городского округа, за 2013 год, степени их влияния на развитие экономики муниципального образования и отдельных отраслей.</w:t>
      </w:r>
    </w:p>
    <w:p w:rsidR="00AD77A7" w:rsidRPr="005E400E" w:rsidRDefault="00AD77A7" w:rsidP="00AD77A7">
      <w:pPr>
        <w:pStyle w:val="XXL"/>
        <w:spacing w:line="240" w:lineRule="auto"/>
        <w:jc w:val="center"/>
        <w:rPr>
          <w:b/>
          <w:i/>
          <w:caps w:val="0"/>
          <w:szCs w:val="28"/>
        </w:rPr>
      </w:pPr>
    </w:p>
    <w:p w:rsidR="004A7417" w:rsidRDefault="00AD77A7" w:rsidP="00AD77A7">
      <w:pPr>
        <w:pStyle w:val="XXL"/>
        <w:spacing w:line="240" w:lineRule="auto"/>
        <w:rPr>
          <w:bCs/>
          <w:caps w:val="0"/>
          <w:color w:val="003C80"/>
          <w:szCs w:val="28"/>
        </w:rPr>
      </w:pPr>
      <w:proofErr w:type="gramStart"/>
      <w:r w:rsidRPr="005E400E">
        <w:rPr>
          <w:bCs/>
          <w:caps w:val="0"/>
          <w:color w:val="003C80"/>
          <w:szCs w:val="28"/>
        </w:rPr>
        <w:t xml:space="preserve">Оценка </w:t>
      </w:r>
      <w:r w:rsidRPr="005E400E">
        <w:rPr>
          <w:caps w:val="0"/>
          <w:szCs w:val="28"/>
        </w:rPr>
        <w:t xml:space="preserve">использования и эффективности применения налоговых преференций, предоставленных правовыми актами Думы </w:t>
      </w:r>
      <w:proofErr w:type="spellStart"/>
      <w:r w:rsidRPr="005E400E">
        <w:rPr>
          <w:caps w:val="0"/>
          <w:szCs w:val="28"/>
        </w:rPr>
        <w:t>Невьянского</w:t>
      </w:r>
      <w:proofErr w:type="spellEnd"/>
      <w:r w:rsidRPr="005E400E">
        <w:rPr>
          <w:caps w:val="0"/>
          <w:szCs w:val="28"/>
        </w:rPr>
        <w:t xml:space="preserve"> городского округа, за 2013 год, степени их влияния на развитие экономики муниципального образования и отдельных отраслей</w:t>
      </w:r>
      <w:r w:rsidRPr="005E400E">
        <w:rPr>
          <w:bCs/>
          <w:caps w:val="0"/>
          <w:color w:val="003C80"/>
          <w:szCs w:val="28"/>
        </w:rPr>
        <w:t xml:space="preserve"> проведена финансовым управлением администрации </w:t>
      </w:r>
      <w:proofErr w:type="spellStart"/>
      <w:r w:rsidRPr="005E400E">
        <w:rPr>
          <w:bCs/>
          <w:caps w:val="0"/>
          <w:color w:val="003C80"/>
          <w:szCs w:val="28"/>
        </w:rPr>
        <w:t>Невьянского</w:t>
      </w:r>
      <w:proofErr w:type="spellEnd"/>
      <w:r w:rsidRPr="005E400E">
        <w:rPr>
          <w:bCs/>
          <w:caps w:val="0"/>
          <w:color w:val="003C80"/>
          <w:szCs w:val="28"/>
        </w:rPr>
        <w:t xml:space="preserve"> городского округа в соответствии с Порядком установления налоговых льгот по уплате местных налогов в бюджет </w:t>
      </w:r>
      <w:proofErr w:type="spellStart"/>
      <w:r w:rsidRPr="005E400E">
        <w:rPr>
          <w:bCs/>
          <w:caps w:val="0"/>
          <w:color w:val="003C80"/>
          <w:szCs w:val="28"/>
        </w:rPr>
        <w:t>Невьянского</w:t>
      </w:r>
      <w:proofErr w:type="spellEnd"/>
      <w:r w:rsidRPr="005E400E">
        <w:rPr>
          <w:bCs/>
          <w:caps w:val="0"/>
          <w:color w:val="003C80"/>
          <w:szCs w:val="28"/>
        </w:rPr>
        <w:t xml:space="preserve"> городского округа утвержденным решением Думы </w:t>
      </w:r>
      <w:proofErr w:type="spellStart"/>
      <w:r w:rsidRPr="005E400E">
        <w:rPr>
          <w:bCs/>
          <w:caps w:val="0"/>
          <w:color w:val="003C80"/>
          <w:szCs w:val="28"/>
        </w:rPr>
        <w:t>Невьянского</w:t>
      </w:r>
      <w:proofErr w:type="spellEnd"/>
      <w:r w:rsidRPr="005E400E">
        <w:rPr>
          <w:bCs/>
          <w:caps w:val="0"/>
          <w:color w:val="003C80"/>
          <w:szCs w:val="28"/>
        </w:rPr>
        <w:t xml:space="preserve"> городского округа от 27.06.2012 года</w:t>
      </w:r>
      <w:proofErr w:type="gramEnd"/>
      <w:r w:rsidRPr="005E400E">
        <w:rPr>
          <w:bCs/>
          <w:caps w:val="0"/>
          <w:color w:val="003C80"/>
          <w:szCs w:val="28"/>
        </w:rPr>
        <w:t xml:space="preserve"> № 50 «Об утверждении Положения о порядке установления налоговых льгот по уплате местных налогов в бюджет </w:t>
      </w:r>
      <w:proofErr w:type="spellStart"/>
      <w:r w:rsidRPr="005E400E">
        <w:rPr>
          <w:bCs/>
          <w:caps w:val="0"/>
          <w:color w:val="003C80"/>
          <w:szCs w:val="28"/>
        </w:rPr>
        <w:t>Невьянского</w:t>
      </w:r>
      <w:proofErr w:type="spellEnd"/>
      <w:r w:rsidRPr="005E400E">
        <w:rPr>
          <w:bCs/>
          <w:caps w:val="0"/>
          <w:color w:val="003C80"/>
          <w:szCs w:val="28"/>
        </w:rPr>
        <w:t xml:space="preserve"> городского округа»</w:t>
      </w:r>
      <w:r w:rsidR="000379DB">
        <w:rPr>
          <w:bCs/>
          <w:caps w:val="0"/>
          <w:color w:val="003C80"/>
          <w:szCs w:val="28"/>
        </w:rPr>
        <w:t>.</w:t>
      </w:r>
    </w:p>
    <w:p w:rsidR="000379DB" w:rsidRPr="005E400E" w:rsidRDefault="000379DB" w:rsidP="00AD77A7">
      <w:pPr>
        <w:pStyle w:val="XXL"/>
        <w:spacing w:line="240" w:lineRule="auto"/>
        <w:rPr>
          <w:bCs/>
          <w:color w:val="003C80"/>
          <w:szCs w:val="28"/>
        </w:rPr>
      </w:pPr>
    </w:p>
    <w:tbl>
      <w:tblPr>
        <w:tblW w:w="9690" w:type="dxa"/>
        <w:tblInd w:w="-75" w:type="dxa"/>
        <w:tblBorders>
          <w:bottom w:val="single" w:sz="6" w:space="0" w:color="D6DE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2599"/>
        <w:gridCol w:w="1504"/>
        <w:gridCol w:w="1920"/>
        <w:gridCol w:w="2609"/>
      </w:tblGrid>
      <w:tr w:rsidR="004A7417" w:rsidRPr="005E400E" w:rsidTr="005E400E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400E">
              <w:rPr>
                <w:b/>
                <w:bCs/>
                <w:caps w:val="0"/>
                <w:color w:val="000000"/>
                <w:sz w:val="26"/>
                <w:szCs w:val="26"/>
              </w:rPr>
              <w:t>основание для представления льготы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400E">
              <w:rPr>
                <w:b/>
                <w:bCs/>
                <w:caps w:val="0"/>
                <w:color w:val="000000"/>
                <w:sz w:val="26"/>
                <w:szCs w:val="26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0379DB">
            <w:pPr>
              <w:spacing w:before="300" w:after="30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400E">
              <w:rPr>
                <w:b/>
                <w:bCs/>
                <w:caps w:val="0"/>
                <w:color w:val="000000"/>
                <w:sz w:val="26"/>
                <w:szCs w:val="26"/>
              </w:rPr>
              <w:t xml:space="preserve">величина потерь </w:t>
            </w:r>
            <w:r w:rsidR="000379DB">
              <w:rPr>
                <w:b/>
                <w:bCs/>
                <w:caps w:val="0"/>
                <w:color w:val="000000"/>
                <w:sz w:val="26"/>
                <w:szCs w:val="26"/>
              </w:rPr>
              <w:t xml:space="preserve">местного </w:t>
            </w:r>
            <w:r w:rsidRPr="005E400E">
              <w:rPr>
                <w:b/>
                <w:bCs/>
                <w:caps w:val="0"/>
                <w:color w:val="000000"/>
                <w:sz w:val="26"/>
                <w:szCs w:val="26"/>
              </w:rPr>
              <w:t>бюджета в результате применения льготы (тыс. рублей) за 2013</w:t>
            </w:r>
            <w:r w:rsidR="005E400E">
              <w:rPr>
                <w:b/>
                <w:bCs/>
                <w:caps w:val="0"/>
                <w:color w:val="000000"/>
                <w:sz w:val="26"/>
                <w:szCs w:val="26"/>
              </w:rPr>
              <w:t xml:space="preserve"> </w:t>
            </w:r>
            <w:r w:rsidRPr="005E400E">
              <w:rPr>
                <w:b/>
                <w:bCs/>
                <w:caps w:val="0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400E">
              <w:rPr>
                <w:b/>
                <w:bCs/>
                <w:caps w:val="0"/>
                <w:color w:val="000000"/>
                <w:sz w:val="26"/>
                <w:szCs w:val="26"/>
              </w:rPr>
              <w:t>цели предоставления льгот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400E">
              <w:rPr>
                <w:b/>
                <w:bCs/>
                <w:caps w:val="0"/>
                <w:color w:val="000000"/>
                <w:sz w:val="26"/>
                <w:szCs w:val="26"/>
              </w:rPr>
              <w:t>эффективность налоговой льготы</w:t>
            </w:r>
          </w:p>
          <w:p w:rsidR="004A7417" w:rsidRPr="005E400E" w:rsidRDefault="004A7417" w:rsidP="005E400E">
            <w:pPr>
              <w:spacing w:before="300" w:after="30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A7417" w:rsidRPr="005E400E" w:rsidTr="00D7201D">
        <w:trPr>
          <w:trHeight w:val="612"/>
        </w:trPr>
        <w:tc>
          <w:tcPr>
            <w:tcW w:w="9690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b/>
                <w:color w:val="000000"/>
                <w:sz w:val="26"/>
                <w:szCs w:val="26"/>
              </w:rPr>
            </w:pPr>
            <w:r w:rsidRPr="005E400E">
              <w:rPr>
                <w:b/>
                <w:caps w:val="0"/>
                <w:color w:val="000000"/>
                <w:sz w:val="26"/>
                <w:szCs w:val="26"/>
              </w:rPr>
              <w:t>по юридическим лицам</w:t>
            </w:r>
          </w:p>
        </w:tc>
      </w:tr>
      <w:tr w:rsidR="004A7417" w:rsidRPr="005E400E" w:rsidTr="005E400E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0379DB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 xml:space="preserve">решение </w:t>
            </w:r>
            <w:r w:rsidR="000379DB">
              <w:rPr>
                <w:caps w:val="0"/>
                <w:color w:val="000000"/>
                <w:sz w:val="26"/>
                <w:szCs w:val="26"/>
              </w:rPr>
              <w:t>Д</w:t>
            </w:r>
            <w:r w:rsidRPr="005E400E">
              <w:rPr>
                <w:caps w:val="0"/>
                <w:color w:val="000000"/>
                <w:sz w:val="26"/>
                <w:szCs w:val="26"/>
              </w:rPr>
              <w:t xml:space="preserve">умы </w:t>
            </w:r>
            <w:proofErr w:type="spellStart"/>
            <w:r w:rsidR="00DF7E22" w:rsidRPr="005E400E">
              <w:rPr>
                <w:caps w:val="0"/>
                <w:color w:val="000000"/>
                <w:sz w:val="26"/>
                <w:szCs w:val="26"/>
              </w:rPr>
              <w:t>Н</w:t>
            </w:r>
            <w:r w:rsidRPr="005E400E">
              <w:rPr>
                <w:caps w:val="0"/>
                <w:color w:val="000000"/>
                <w:sz w:val="26"/>
                <w:szCs w:val="26"/>
              </w:rPr>
              <w:t>евьянского</w:t>
            </w:r>
            <w:proofErr w:type="spellEnd"/>
            <w:r w:rsidRPr="005E400E">
              <w:rPr>
                <w:caps w:val="0"/>
                <w:color w:val="000000"/>
                <w:sz w:val="26"/>
                <w:szCs w:val="26"/>
              </w:rPr>
              <w:t xml:space="preserve"> городского округа от 24.10.2010 года № 139 (ред. от 26.12.2012 г.)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AD77A7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 xml:space="preserve">муниципальные автономные, бюджетные и казенные учреждения, финансируемые из бюджета </w:t>
            </w:r>
            <w:proofErr w:type="spellStart"/>
            <w:r w:rsidRPr="005E400E">
              <w:rPr>
                <w:caps w:val="0"/>
                <w:color w:val="000000"/>
                <w:sz w:val="26"/>
                <w:szCs w:val="26"/>
              </w:rPr>
              <w:t>Невьянского</w:t>
            </w:r>
            <w:proofErr w:type="spellEnd"/>
            <w:r w:rsidRPr="005E400E">
              <w:rPr>
                <w:caps w:val="0"/>
                <w:color w:val="000000"/>
                <w:sz w:val="26"/>
                <w:szCs w:val="26"/>
              </w:rPr>
              <w:t xml:space="preserve">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DF7E22" w:rsidP="00CC31DC">
            <w:pPr>
              <w:spacing w:before="300" w:after="30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411</w:t>
            </w:r>
            <w:r w:rsidR="00FE754F" w:rsidRPr="005E400E">
              <w:rPr>
                <w:caps w:val="0"/>
                <w:color w:val="000000"/>
                <w:sz w:val="26"/>
                <w:szCs w:val="26"/>
              </w:rPr>
              <w:t>8</w:t>
            </w:r>
            <w:r w:rsidR="00CC31DC">
              <w:rPr>
                <w:cap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сокращение финансовых потоков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 xml:space="preserve">сокращение документооборота, экономия технического </w:t>
            </w:r>
            <w:r w:rsidR="00DF7E22" w:rsidRPr="005E400E">
              <w:rPr>
                <w:caps w:val="0"/>
                <w:color w:val="000000"/>
                <w:sz w:val="26"/>
                <w:szCs w:val="26"/>
              </w:rPr>
              <w:t>и материального ресурсов (бумага, электронный документооборот</w:t>
            </w:r>
            <w:r w:rsidR="00356ADA" w:rsidRPr="005E400E">
              <w:rPr>
                <w:caps w:val="0"/>
                <w:color w:val="000000"/>
                <w:sz w:val="26"/>
                <w:szCs w:val="26"/>
              </w:rPr>
              <w:t>)</w:t>
            </w:r>
          </w:p>
        </w:tc>
      </w:tr>
      <w:tr w:rsidR="004A7417" w:rsidRPr="005E400E" w:rsidTr="00D7201D">
        <w:trPr>
          <w:trHeight w:val="2815"/>
        </w:trPr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356ADA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1874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сокращение финансовых потоков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356ADA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сокращение документооборота, экономия технического и материального ресурсов (бумага, электронный документооборот</w:t>
            </w:r>
            <w:proofErr w:type="gramStart"/>
            <w:r w:rsidRPr="005E400E">
              <w:rPr>
                <w:caps w:val="0"/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4A7417" w:rsidRPr="005E400E" w:rsidTr="005E400E">
        <w:trPr>
          <w:trHeight w:val="1327"/>
        </w:trPr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сельскохозяйственные организации и крестьянские (фермерские) хозяйства, у которых выручка от реализации произведенной и переработанной ими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356ADA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 xml:space="preserve">в рамках реализации национального проекта «развитие </w:t>
            </w:r>
            <w:r w:rsidR="00356ADA" w:rsidRPr="005E400E">
              <w:rPr>
                <w:caps w:val="0"/>
                <w:color w:val="000000"/>
                <w:sz w:val="26"/>
                <w:szCs w:val="26"/>
              </w:rPr>
              <w:t>АПК</w:t>
            </w:r>
            <w:r w:rsidRPr="005E400E">
              <w:rPr>
                <w:caps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финансовая поддержка сельхозпроизводителей</w:t>
            </w:r>
          </w:p>
        </w:tc>
      </w:tr>
      <w:tr w:rsidR="004A7417" w:rsidRPr="005E400E" w:rsidTr="005E400E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356ADA" w:rsidP="00CC31DC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433</w:t>
            </w:r>
            <w:r w:rsidR="00CC31DC">
              <w:rPr>
                <w:caps w:val="0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7417" w:rsidRPr="005E400E" w:rsidTr="005E400E">
        <w:trPr>
          <w:trHeight w:val="216"/>
        </w:trPr>
        <w:tc>
          <w:tcPr>
            <w:tcW w:w="9690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b/>
                <w:color w:val="000000"/>
                <w:sz w:val="26"/>
                <w:szCs w:val="26"/>
              </w:rPr>
            </w:pPr>
            <w:r w:rsidRPr="005E400E">
              <w:rPr>
                <w:b/>
                <w:caps w:val="0"/>
                <w:color w:val="000000"/>
                <w:sz w:val="26"/>
                <w:szCs w:val="26"/>
              </w:rPr>
              <w:t>по физическим лицам</w:t>
            </w:r>
          </w:p>
        </w:tc>
      </w:tr>
      <w:tr w:rsidR="00356ADA" w:rsidRPr="005E400E" w:rsidTr="005E400E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0379DB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 xml:space="preserve">решение </w:t>
            </w:r>
            <w:r w:rsidR="000379DB">
              <w:rPr>
                <w:caps w:val="0"/>
                <w:color w:val="000000"/>
                <w:sz w:val="26"/>
                <w:szCs w:val="26"/>
              </w:rPr>
              <w:t>Д</w:t>
            </w:r>
            <w:r w:rsidRPr="005E400E">
              <w:rPr>
                <w:caps w:val="0"/>
                <w:color w:val="000000"/>
                <w:sz w:val="26"/>
                <w:szCs w:val="26"/>
              </w:rPr>
              <w:t xml:space="preserve">умы </w:t>
            </w:r>
            <w:proofErr w:type="spellStart"/>
            <w:r w:rsidR="00893B1A" w:rsidRPr="005E400E">
              <w:rPr>
                <w:caps w:val="0"/>
                <w:color w:val="000000"/>
                <w:sz w:val="26"/>
                <w:szCs w:val="26"/>
              </w:rPr>
              <w:t>Н</w:t>
            </w:r>
            <w:r w:rsidRPr="005E400E">
              <w:rPr>
                <w:caps w:val="0"/>
                <w:color w:val="000000"/>
                <w:sz w:val="26"/>
                <w:szCs w:val="26"/>
              </w:rPr>
              <w:t>евьянского</w:t>
            </w:r>
            <w:proofErr w:type="spellEnd"/>
            <w:r w:rsidRPr="005E400E">
              <w:rPr>
                <w:caps w:val="0"/>
                <w:color w:val="000000"/>
                <w:sz w:val="26"/>
                <w:szCs w:val="26"/>
              </w:rPr>
              <w:t xml:space="preserve"> городского округа от 24.10.2010 года № 139 (ред. от 26.12.2012 г.)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пенсионеры по старости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B05C28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1548</w:t>
            </w:r>
          </w:p>
        </w:tc>
        <w:tc>
          <w:tcPr>
            <w:tcW w:w="1631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с целью социальной поддержки, формирования благоприятных условий жизни незащищенных слоев населения</w:t>
            </w:r>
          </w:p>
        </w:tc>
        <w:tc>
          <w:tcPr>
            <w:tcW w:w="3164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rPr>
                <w:sz w:val="26"/>
                <w:szCs w:val="26"/>
              </w:rPr>
            </w:pPr>
            <w:r w:rsidRPr="005E400E">
              <w:rPr>
                <w:caps w:val="0"/>
                <w:sz w:val="26"/>
                <w:szCs w:val="26"/>
              </w:rPr>
              <w:t xml:space="preserve">социальная эффективность - равняется сумме экономии бюджетных средств на прямое финансирование поддержки социально незащищенных категорий граждан в сумме </w:t>
            </w:r>
            <w:r w:rsidR="00893B1A" w:rsidRPr="005E400E">
              <w:rPr>
                <w:caps w:val="0"/>
                <w:sz w:val="26"/>
                <w:szCs w:val="26"/>
              </w:rPr>
              <w:t>1653</w:t>
            </w:r>
            <w:r w:rsidRPr="005E400E">
              <w:rPr>
                <w:caps w:val="0"/>
                <w:sz w:val="26"/>
                <w:szCs w:val="26"/>
              </w:rPr>
              <w:t xml:space="preserve"> тыс. руб.</w:t>
            </w:r>
          </w:p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6ADA" w:rsidRPr="00EF0AB8" w:rsidTr="005E400E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инвалиды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B05C28" w:rsidP="00B05C28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aps w:val="0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631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4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6ADA" w:rsidRPr="00EF0AB8" w:rsidTr="005E400E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лица, имеющие трех и более несовершеннолетних детей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B05C28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aps w:val="0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31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4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6ADA" w:rsidRPr="00EF0AB8" w:rsidTr="005E400E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aps w:val="0"/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пенсионеры, имеющие звание «Ветеран труда»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Default="00B05C28" w:rsidP="00356ADA">
            <w:pPr>
              <w:spacing w:before="300" w:after="300"/>
              <w:jc w:val="center"/>
              <w:rPr>
                <w:caps w:val="0"/>
                <w:color w:val="000000"/>
                <w:sz w:val="26"/>
                <w:szCs w:val="26"/>
              </w:rPr>
            </w:pPr>
            <w:r>
              <w:rPr>
                <w:caps w:val="0"/>
                <w:color w:val="000000"/>
                <w:sz w:val="26"/>
                <w:szCs w:val="26"/>
              </w:rPr>
              <w:t>978</w:t>
            </w:r>
          </w:p>
          <w:p w:rsidR="00B05C28" w:rsidRPr="005E400E" w:rsidRDefault="00B05C28" w:rsidP="00356ADA">
            <w:pPr>
              <w:spacing w:before="300" w:after="300"/>
              <w:jc w:val="center"/>
              <w:rPr>
                <w:caps w:val="0"/>
                <w:color w:val="000000"/>
                <w:sz w:val="26"/>
                <w:szCs w:val="26"/>
              </w:rPr>
            </w:pPr>
          </w:p>
        </w:tc>
        <w:tc>
          <w:tcPr>
            <w:tcW w:w="1631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4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6ADA" w:rsidRPr="00EF0AB8" w:rsidTr="005E400E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893B1A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 xml:space="preserve">участники </w:t>
            </w:r>
            <w:r w:rsidR="00893B1A" w:rsidRPr="005E400E">
              <w:rPr>
                <w:caps w:val="0"/>
                <w:color w:val="000000"/>
                <w:sz w:val="26"/>
                <w:szCs w:val="26"/>
              </w:rPr>
              <w:t>ВОВ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B05C28" w:rsidP="00356ADA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aps w:val="0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631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4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6ADA" w:rsidRPr="005E400E" w:rsidRDefault="00356ADA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7417" w:rsidRPr="00EF0AB8" w:rsidTr="005E400E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8603AE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aps w:val="0"/>
                <w:color w:val="000000"/>
                <w:sz w:val="26"/>
                <w:szCs w:val="26"/>
              </w:rPr>
              <w:t>2799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7417" w:rsidRPr="00EF0AB8" w:rsidTr="005E400E">
        <w:tc>
          <w:tcPr>
            <w:tcW w:w="0" w:type="auto"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AD77A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  <w:r w:rsidRPr="005E400E">
              <w:rPr>
                <w:caps w:val="0"/>
                <w:color w:val="000000"/>
                <w:sz w:val="26"/>
                <w:szCs w:val="26"/>
              </w:rPr>
              <w:t>всего предоставлено льгот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8603AE" w:rsidP="008603AE">
            <w:pPr>
              <w:spacing w:before="300" w:after="30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aps w:val="0"/>
                <w:color w:val="000000"/>
                <w:sz w:val="26"/>
                <w:szCs w:val="26"/>
              </w:rPr>
              <w:t>46148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A7417" w:rsidRPr="005E400E" w:rsidRDefault="004A7417" w:rsidP="005E400E">
            <w:pPr>
              <w:spacing w:before="300" w:after="30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A7417" w:rsidRDefault="004A7417" w:rsidP="004A7417">
      <w:pPr>
        <w:rPr>
          <w:szCs w:val="24"/>
        </w:rPr>
      </w:pPr>
    </w:p>
    <w:p w:rsidR="000379DB" w:rsidRDefault="00CC31DC" w:rsidP="000379DB">
      <w:pPr>
        <w:jc w:val="both"/>
        <w:outlineLvl w:val="0"/>
        <w:rPr>
          <w:caps w:val="0"/>
          <w:sz w:val="28"/>
          <w:szCs w:val="28"/>
          <w:shd w:val="clear" w:color="auto" w:fill="FFFFFF"/>
        </w:rPr>
      </w:pPr>
      <w:r w:rsidRPr="00D62E2E">
        <w:rPr>
          <w:caps w:val="0"/>
          <w:sz w:val="28"/>
          <w:szCs w:val="28"/>
          <w:shd w:val="clear" w:color="auto" w:fill="FFFFFF"/>
        </w:rPr>
        <w:t> </w:t>
      </w:r>
      <w:r w:rsidR="000379DB">
        <w:rPr>
          <w:caps w:val="0"/>
          <w:sz w:val="28"/>
          <w:szCs w:val="28"/>
          <w:shd w:val="clear" w:color="auto" w:fill="FFFFFF"/>
        </w:rPr>
        <w:t xml:space="preserve">      </w:t>
      </w:r>
      <w:r w:rsidRPr="00D62E2E">
        <w:rPr>
          <w:caps w:val="0"/>
          <w:sz w:val="28"/>
          <w:szCs w:val="28"/>
          <w:shd w:val="clear" w:color="auto" w:fill="FFFFFF"/>
        </w:rPr>
        <w:t>Из-за предоставления налоговых льгот</w:t>
      </w:r>
      <w:r w:rsidR="00BF6C20" w:rsidRPr="00D62E2E">
        <w:rPr>
          <w:caps w:val="0"/>
          <w:sz w:val="28"/>
          <w:szCs w:val="28"/>
          <w:shd w:val="clear" w:color="auto" w:fill="FFFFFF"/>
        </w:rPr>
        <w:t>,</w:t>
      </w:r>
      <w:r w:rsidRPr="00D62E2E">
        <w:rPr>
          <w:caps w:val="0"/>
          <w:sz w:val="28"/>
          <w:szCs w:val="28"/>
          <w:shd w:val="clear" w:color="auto" w:fill="FFFFFF"/>
        </w:rPr>
        <w:t xml:space="preserve"> бюджет </w:t>
      </w:r>
      <w:proofErr w:type="spellStart"/>
      <w:r w:rsidRPr="00D62E2E">
        <w:rPr>
          <w:caps w:val="0"/>
          <w:sz w:val="28"/>
          <w:szCs w:val="28"/>
          <w:shd w:val="clear" w:color="auto" w:fill="FFFFFF"/>
        </w:rPr>
        <w:t>Невьянского</w:t>
      </w:r>
      <w:proofErr w:type="spellEnd"/>
      <w:r w:rsidRPr="00D62E2E">
        <w:rPr>
          <w:caps w:val="0"/>
          <w:sz w:val="28"/>
          <w:szCs w:val="28"/>
          <w:shd w:val="clear" w:color="auto" w:fill="FFFFFF"/>
        </w:rPr>
        <w:t xml:space="preserve"> городского округа  в прошлом году недополучил </w:t>
      </w:r>
      <w:r w:rsidR="008603AE">
        <w:rPr>
          <w:caps w:val="0"/>
          <w:sz w:val="28"/>
          <w:szCs w:val="28"/>
          <w:shd w:val="clear" w:color="auto" w:fill="FFFFFF"/>
        </w:rPr>
        <w:t>46148</w:t>
      </w:r>
      <w:r w:rsidRPr="00D62E2E">
        <w:rPr>
          <w:caps w:val="0"/>
          <w:sz w:val="28"/>
          <w:szCs w:val="28"/>
          <w:shd w:val="clear" w:color="auto" w:fill="FFFFFF"/>
        </w:rPr>
        <w:t xml:space="preserve"> тыс. руб., что составляет </w:t>
      </w:r>
      <w:r w:rsidR="008603AE">
        <w:rPr>
          <w:caps w:val="0"/>
          <w:sz w:val="28"/>
          <w:szCs w:val="28"/>
          <w:shd w:val="clear" w:color="auto" w:fill="FFFFFF"/>
        </w:rPr>
        <w:t>9,06</w:t>
      </w:r>
      <w:r w:rsidR="00EE2396">
        <w:rPr>
          <w:caps w:val="0"/>
          <w:sz w:val="28"/>
          <w:szCs w:val="28"/>
          <w:shd w:val="clear" w:color="auto" w:fill="FFFFFF"/>
        </w:rPr>
        <w:t xml:space="preserve"> </w:t>
      </w:r>
      <w:r w:rsidR="00EF01A3" w:rsidRPr="00D62E2E">
        <w:rPr>
          <w:caps w:val="0"/>
          <w:sz w:val="28"/>
          <w:szCs w:val="28"/>
          <w:shd w:val="clear" w:color="auto" w:fill="FFFFFF"/>
        </w:rPr>
        <w:t xml:space="preserve">% в общем объеме </w:t>
      </w:r>
      <w:r w:rsidR="000379DB">
        <w:rPr>
          <w:caps w:val="0"/>
          <w:sz w:val="28"/>
          <w:szCs w:val="28"/>
          <w:shd w:val="clear" w:color="auto" w:fill="FFFFFF"/>
        </w:rPr>
        <w:t xml:space="preserve">налоговых </w:t>
      </w:r>
      <w:r w:rsidR="00EF01A3" w:rsidRPr="00D62E2E">
        <w:rPr>
          <w:caps w:val="0"/>
          <w:sz w:val="28"/>
          <w:szCs w:val="28"/>
          <w:shd w:val="clear" w:color="auto" w:fill="FFFFFF"/>
        </w:rPr>
        <w:t xml:space="preserve">доходов бюджета </w:t>
      </w:r>
      <w:proofErr w:type="spellStart"/>
      <w:r w:rsidR="00EF01A3" w:rsidRPr="00D62E2E">
        <w:rPr>
          <w:caps w:val="0"/>
          <w:sz w:val="28"/>
          <w:szCs w:val="28"/>
          <w:shd w:val="clear" w:color="auto" w:fill="FFFFFF"/>
        </w:rPr>
        <w:t>Невьянского</w:t>
      </w:r>
      <w:proofErr w:type="spellEnd"/>
      <w:r w:rsidR="00EF01A3" w:rsidRPr="00D62E2E">
        <w:rPr>
          <w:caps w:val="0"/>
          <w:sz w:val="28"/>
          <w:szCs w:val="28"/>
          <w:shd w:val="clear" w:color="auto" w:fill="FFFFFF"/>
        </w:rPr>
        <w:t xml:space="preserve"> городского округа. </w:t>
      </w:r>
    </w:p>
    <w:p w:rsidR="00EF01A3" w:rsidRPr="00E121CF" w:rsidRDefault="000379DB" w:rsidP="000379DB">
      <w:pPr>
        <w:jc w:val="both"/>
        <w:outlineLvl w:val="0"/>
        <w:rPr>
          <w:bCs/>
          <w:iCs/>
          <w:caps w:val="0"/>
          <w:sz w:val="28"/>
          <w:szCs w:val="28"/>
        </w:rPr>
      </w:pPr>
      <w:r w:rsidRPr="00E121CF">
        <w:rPr>
          <w:caps w:val="0"/>
          <w:sz w:val="28"/>
          <w:szCs w:val="28"/>
          <w:shd w:val="clear" w:color="auto" w:fill="FFFFFF"/>
        </w:rPr>
        <w:t xml:space="preserve">     </w:t>
      </w:r>
      <w:r w:rsidR="00EF01A3" w:rsidRPr="00E121CF">
        <w:rPr>
          <w:caps w:val="0"/>
          <w:sz w:val="28"/>
          <w:szCs w:val="28"/>
          <w:shd w:val="clear" w:color="auto" w:fill="FFFFFF"/>
        </w:rPr>
        <w:t>П</w:t>
      </w:r>
      <w:r w:rsidR="00EF01A3" w:rsidRPr="00E121CF">
        <w:rPr>
          <w:caps w:val="0"/>
          <w:sz w:val="28"/>
          <w:szCs w:val="28"/>
        </w:rPr>
        <w:t>ланом мероприятий («дорожной картой»)</w:t>
      </w:r>
      <w:r w:rsidRPr="00E121CF">
        <w:rPr>
          <w:caps w:val="0"/>
          <w:sz w:val="28"/>
          <w:szCs w:val="28"/>
        </w:rPr>
        <w:t xml:space="preserve"> </w:t>
      </w:r>
      <w:r w:rsidR="00EF01A3" w:rsidRPr="00E121CF">
        <w:rPr>
          <w:bCs/>
          <w:iCs/>
          <w:caps w:val="0"/>
          <w:sz w:val="28"/>
          <w:szCs w:val="28"/>
        </w:rPr>
        <w:t xml:space="preserve">по повышению доходного потенциала </w:t>
      </w:r>
      <w:proofErr w:type="spellStart"/>
      <w:r w:rsidR="00EF01A3" w:rsidRPr="00E121CF">
        <w:rPr>
          <w:bCs/>
          <w:iCs/>
          <w:caps w:val="0"/>
          <w:sz w:val="28"/>
          <w:szCs w:val="28"/>
        </w:rPr>
        <w:t>Невьянского</w:t>
      </w:r>
      <w:proofErr w:type="spellEnd"/>
      <w:r w:rsidR="00EF01A3" w:rsidRPr="00E121CF">
        <w:rPr>
          <w:bCs/>
          <w:iCs/>
          <w:caps w:val="0"/>
          <w:sz w:val="28"/>
          <w:szCs w:val="28"/>
        </w:rPr>
        <w:t xml:space="preserve"> городского округа на 2014 год и плановый период 2015 и 2016 годов контрольный показатель - удельный вес </w:t>
      </w:r>
      <w:proofErr w:type="gramStart"/>
      <w:r w:rsidR="00EF01A3" w:rsidRPr="00E121CF">
        <w:rPr>
          <w:bCs/>
          <w:iCs/>
          <w:caps w:val="0"/>
          <w:sz w:val="28"/>
          <w:szCs w:val="28"/>
        </w:rPr>
        <w:t xml:space="preserve">налоговых льгот, предоставленных Думой </w:t>
      </w:r>
      <w:proofErr w:type="spellStart"/>
      <w:r w:rsidR="00EF01A3" w:rsidRPr="00E121CF">
        <w:rPr>
          <w:bCs/>
          <w:iCs/>
          <w:caps w:val="0"/>
          <w:sz w:val="28"/>
          <w:szCs w:val="28"/>
        </w:rPr>
        <w:t>Невьянского</w:t>
      </w:r>
      <w:proofErr w:type="spellEnd"/>
      <w:r w:rsidR="00EF01A3" w:rsidRPr="00E121CF">
        <w:rPr>
          <w:bCs/>
          <w:iCs/>
          <w:caps w:val="0"/>
          <w:sz w:val="28"/>
          <w:szCs w:val="28"/>
        </w:rPr>
        <w:t xml:space="preserve"> городского округа установлен</w:t>
      </w:r>
      <w:proofErr w:type="gramEnd"/>
      <w:r w:rsidR="00EF01A3" w:rsidRPr="00E121CF">
        <w:rPr>
          <w:bCs/>
          <w:iCs/>
          <w:caps w:val="0"/>
          <w:sz w:val="28"/>
          <w:szCs w:val="28"/>
        </w:rPr>
        <w:t xml:space="preserve"> в размере не более 7,5%. Таким образом, фактический показатель выше контрольного показателя на 1,</w:t>
      </w:r>
      <w:r w:rsidR="00EE2396">
        <w:rPr>
          <w:bCs/>
          <w:iCs/>
          <w:caps w:val="0"/>
          <w:sz w:val="28"/>
          <w:szCs w:val="28"/>
        </w:rPr>
        <w:t>56</w:t>
      </w:r>
      <w:r w:rsidR="00EF01A3" w:rsidRPr="00E121CF">
        <w:rPr>
          <w:bCs/>
          <w:iCs/>
          <w:caps w:val="0"/>
          <w:sz w:val="28"/>
          <w:szCs w:val="28"/>
        </w:rPr>
        <w:t>%.</w:t>
      </w:r>
    </w:p>
    <w:p w:rsidR="000379DB" w:rsidRDefault="000379DB" w:rsidP="00C820D6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D7460" w:rsidRPr="00D62E2E">
        <w:rPr>
          <w:color w:val="000000"/>
          <w:sz w:val="28"/>
          <w:szCs w:val="28"/>
        </w:rPr>
        <w:t>Мин</w:t>
      </w:r>
      <w:r w:rsidR="00EF01A3" w:rsidRPr="00D62E2E">
        <w:rPr>
          <w:color w:val="000000"/>
          <w:sz w:val="28"/>
          <w:szCs w:val="28"/>
        </w:rPr>
        <w:t>истерством финансов Российской Федерации</w:t>
      </w:r>
      <w:r w:rsidR="00ED7460" w:rsidRPr="00D62E2E">
        <w:rPr>
          <w:color w:val="000000"/>
          <w:sz w:val="28"/>
          <w:szCs w:val="28"/>
        </w:rPr>
        <w:t xml:space="preserve"> налоговые преференции поделены на три типа: прямые льготы, структурные элементы налоговой системы и смешанные</w:t>
      </w:r>
      <w:r w:rsidR="00EF01A3" w:rsidRPr="00D62E2E">
        <w:rPr>
          <w:color w:val="000000"/>
          <w:sz w:val="28"/>
          <w:szCs w:val="28"/>
        </w:rPr>
        <w:t>.</w:t>
      </w:r>
      <w:r w:rsidR="00ED7460" w:rsidRPr="00D62E2E">
        <w:rPr>
          <w:color w:val="000000"/>
          <w:sz w:val="28"/>
          <w:szCs w:val="28"/>
        </w:rPr>
        <w:t xml:space="preserve"> Прямые льготы предоставляются для развития отраслей, а также для поддержки социально незащищенных категорий граждан, говорится в проекте доклада Минфина на основе заключений экспертов Высшей школы экономики и Р</w:t>
      </w:r>
      <w:r w:rsidR="00122224" w:rsidRPr="00D62E2E">
        <w:rPr>
          <w:color w:val="000000"/>
          <w:sz w:val="28"/>
          <w:szCs w:val="28"/>
        </w:rPr>
        <w:t>оссийской академии народного хозяйства и государственной службы</w:t>
      </w:r>
      <w:r w:rsidR="00ED7460" w:rsidRPr="00D62E2E">
        <w:rPr>
          <w:color w:val="000000"/>
          <w:sz w:val="28"/>
          <w:szCs w:val="28"/>
        </w:rPr>
        <w:t xml:space="preserve">. </w:t>
      </w:r>
    </w:p>
    <w:p w:rsidR="00ED7460" w:rsidRPr="00D62E2E" w:rsidRDefault="000379DB" w:rsidP="00C820D6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2371">
        <w:rPr>
          <w:color w:val="000000"/>
          <w:sz w:val="28"/>
          <w:szCs w:val="28"/>
        </w:rPr>
        <w:t>Исходя из данного определения</w:t>
      </w:r>
      <w:r w:rsidR="003E4C0D">
        <w:rPr>
          <w:color w:val="000000"/>
          <w:sz w:val="28"/>
          <w:szCs w:val="28"/>
        </w:rPr>
        <w:t>,</w:t>
      </w:r>
      <w:r w:rsidR="007F2371">
        <w:rPr>
          <w:color w:val="000000"/>
          <w:sz w:val="28"/>
          <w:szCs w:val="28"/>
        </w:rPr>
        <w:t xml:space="preserve"> в</w:t>
      </w:r>
      <w:r w:rsidR="005D7617" w:rsidRPr="00D62E2E">
        <w:rPr>
          <w:color w:val="000000"/>
          <w:sz w:val="28"/>
          <w:szCs w:val="28"/>
        </w:rPr>
        <w:t xml:space="preserve">се </w:t>
      </w:r>
      <w:r w:rsidR="00ED7460" w:rsidRPr="00D62E2E">
        <w:rPr>
          <w:color w:val="000000"/>
          <w:sz w:val="28"/>
          <w:szCs w:val="28"/>
        </w:rPr>
        <w:t xml:space="preserve">потери бюджет </w:t>
      </w:r>
      <w:proofErr w:type="spellStart"/>
      <w:r w:rsidR="005D7617" w:rsidRPr="00D62E2E">
        <w:rPr>
          <w:color w:val="000000"/>
          <w:sz w:val="28"/>
          <w:szCs w:val="28"/>
        </w:rPr>
        <w:t>Невьянского</w:t>
      </w:r>
      <w:proofErr w:type="spellEnd"/>
      <w:r w:rsidR="005D7617" w:rsidRPr="00D62E2E">
        <w:rPr>
          <w:color w:val="000000"/>
          <w:sz w:val="28"/>
          <w:szCs w:val="28"/>
        </w:rPr>
        <w:t xml:space="preserve"> городского округа </w:t>
      </w:r>
      <w:r w:rsidR="00ED7460" w:rsidRPr="00D62E2E">
        <w:rPr>
          <w:color w:val="000000"/>
          <w:sz w:val="28"/>
          <w:szCs w:val="28"/>
        </w:rPr>
        <w:t>несет от прямых налоговых льгот</w:t>
      </w:r>
      <w:r w:rsidR="005D7617" w:rsidRPr="00D62E2E">
        <w:rPr>
          <w:color w:val="000000"/>
          <w:sz w:val="28"/>
          <w:szCs w:val="28"/>
        </w:rPr>
        <w:t xml:space="preserve">. </w:t>
      </w:r>
    </w:p>
    <w:p w:rsidR="000379DB" w:rsidRDefault="000379DB" w:rsidP="000379DB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D7617" w:rsidRPr="00D62E2E">
        <w:rPr>
          <w:color w:val="000000"/>
          <w:sz w:val="28"/>
          <w:szCs w:val="28"/>
        </w:rPr>
        <w:t xml:space="preserve">В общей сумме </w:t>
      </w:r>
      <w:proofErr w:type="gramStart"/>
      <w:r w:rsidR="005D7617" w:rsidRPr="00D62E2E">
        <w:rPr>
          <w:color w:val="000000"/>
          <w:sz w:val="28"/>
          <w:szCs w:val="28"/>
        </w:rPr>
        <w:t xml:space="preserve">налоговых льгот, предоставленных в соответствии с решениями Думы </w:t>
      </w:r>
      <w:proofErr w:type="spellStart"/>
      <w:r w:rsidR="005D7617" w:rsidRPr="00D62E2E">
        <w:rPr>
          <w:color w:val="000000"/>
          <w:sz w:val="28"/>
          <w:szCs w:val="28"/>
        </w:rPr>
        <w:t>Невьянского</w:t>
      </w:r>
      <w:proofErr w:type="spellEnd"/>
      <w:r w:rsidR="005D7617" w:rsidRPr="00D62E2E">
        <w:rPr>
          <w:color w:val="000000"/>
          <w:sz w:val="28"/>
          <w:szCs w:val="28"/>
        </w:rPr>
        <w:t xml:space="preserve"> городского округа </w:t>
      </w:r>
      <w:r w:rsidR="00EE2396">
        <w:rPr>
          <w:color w:val="000000"/>
          <w:sz w:val="28"/>
          <w:szCs w:val="28"/>
        </w:rPr>
        <w:t>6,07</w:t>
      </w:r>
      <w:r w:rsidR="005D7617" w:rsidRPr="00D62E2E">
        <w:rPr>
          <w:color w:val="000000"/>
          <w:sz w:val="28"/>
          <w:szCs w:val="28"/>
        </w:rPr>
        <w:t>% составляют</w:t>
      </w:r>
      <w:proofErr w:type="gramEnd"/>
      <w:r w:rsidR="005D7617" w:rsidRPr="00D62E2E">
        <w:rPr>
          <w:color w:val="000000"/>
          <w:sz w:val="28"/>
          <w:szCs w:val="28"/>
        </w:rPr>
        <w:t xml:space="preserve"> социальные льготы, по которым оценка экономической эффективности не может быть произведена.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Льготы, предоставленные физическим лицам имеют</w:t>
      </w:r>
      <w:proofErr w:type="gramEnd"/>
      <w:r>
        <w:rPr>
          <w:color w:val="000000"/>
          <w:sz w:val="28"/>
          <w:szCs w:val="28"/>
        </w:rPr>
        <w:t xml:space="preserve"> характер социальной поддержки </w:t>
      </w:r>
      <w:r w:rsidR="007F2371">
        <w:rPr>
          <w:color w:val="000000"/>
          <w:sz w:val="28"/>
          <w:szCs w:val="28"/>
        </w:rPr>
        <w:t xml:space="preserve">следующих категорий </w:t>
      </w:r>
      <w:r>
        <w:rPr>
          <w:color w:val="000000"/>
          <w:sz w:val="28"/>
          <w:szCs w:val="28"/>
        </w:rPr>
        <w:t xml:space="preserve">граждан – пенсионеров, достигших пенсионного возраста, инвалидов, участников ВОВ, многодетных семей, ветеранов. </w:t>
      </w:r>
    </w:p>
    <w:p w:rsidR="00867EBD" w:rsidRPr="00D62E2E" w:rsidRDefault="007F2371" w:rsidP="00C820D6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67EBD" w:rsidRPr="00D62E2E">
        <w:rPr>
          <w:color w:val="000000"/>
          <w:sz w:val="28"/>
          <w:szCs w:val="28"/>
        </w:rPr>
        <w:t xml:space="preserve">Самую большую часть – </w:t>
      </w:r>
      <w:r w:rsidR="00973B92">
        <w:rPr>
          <w:color w:val="000000"/>
          <w:sz w:val="28"/>
          <w:szCs w:val="28"/>
        </w:rPr>
        <w:t>89,24</w:t>
      </w:r>
      <w:r w:rsidR="00867EBD" w:rsidRPr="00D62E2E">
        <w:rPr>
          <w:color w:val="000000"/>
          <w:sz w:val="28"/>
          <w:szCs w:val="28"/>
        </w:rPr>
        <w:t xml:space="preserve">% составляют льготы муниципальным учреждениям, </w:t>
      </w:r>
      <w:r w:rsidR="001E437C" w:rsidRPr="00D62E2E">
        <w:rPr>
          <w:color w:val="000000"/>
          <w:sz w:val="28"/>
          <w:szCs w:val="28"/>
        </w:rPr>
        <w:t>финансируемым из местного бюджета. По своей сути</w:t>
      </w:r>
      <w:r w:rsidR="00FB19D2" w:rsidRPr="00D62E2E">
        <w:rPr>
          <w:color w:val="000000"/>
          <w:sz w:val="28"/>
          <w:szCs w:val="28"/>
        </w:rPr>
        <w:t xml:space="preserve">, </w:t>
      </w:r>
      <w:r w:rsidR="001E437C" w:rsidRPr="00D62E2E">
        <w:rPr>
          <w:color w:val="000000"/>
          <w:sz w:val="28"/>
          <w:szCs w:val="28"/>
        </w:rPr>
        <w:t>освобождение от уплаты земельного налога муниципальных учреждений не является налоговой льготой, так как</w:t>
      </w:r>
      <w:r w:rsidR="00973B92">
        <w:rPr>
          <w:color w:val="000000"/>
          <w:sz w:val="28"/>
          <w:szCs w:val="28"/>
        </w:rPr>
        <w:t>,</w:t>
      </w:r>
      <w:r w:rsidR="001E437C" w:rsidRPr="00D62E2E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FB19D2" w:rsidRPr="00D62E2E">
        <w:rPr>
          <w:color w:val="000000"/>
          <w:sz w:val="28"/>
          <w:szCs w:val="28"/>
        </w:rPr>
        <w:t>,</w:t>
      </w:r>
      <w:r w:rsidR="001E437C" w:rsidRPr="00D62E2E">
        <w:rPr>
          <w:color w:val="000000"/>
          <w:sz w:val="28"/>
          <w:szCs w:val="28"/>
        </w:rPr>
        <w:t xml:space="preserve"> сумма </w:t>
      </w:r>
      <w:r w:rsidR="00D71969">
        <w:rPr>
          <w:color w:val="000000"/>
          <w:sz w:val="28"/>
          <w:szCs w:val="28"/>
        </w:rPr>
        <w:t xml:space="preserve">причитающегося к уплате </w:t>
      </w:r>
      <w:r w:rsidR="001E437C" w:rsidRPr="00D62E2E">
        <w:rPr>
          <w:color w:val="000000"/>
          <w:sz w:val="28"/>
          <w:szCs w:val="28"/>
        </w:rPr>
        <w:t>налога должна быть заложена в смете казенного учреждения либо в сумме нормативных затрат на выполнение муниципального задания</w:t>
      </w:r>
      <w:r w:rsidR="00FB19D2" w:rsidRPr="00D62E2E">
        <w:rPr>
          <w:color w:val="000000"/>
          <w:sz w:val="28"/>
          <w:szCs w:val="28"/>
        </w:rPr>
        <w:t xml:space="preserve"> бюджетному и автономному учреждению</w:t>
      </w:r>
      <w:r w:rsidR="001E437C" w:rsidRPr="00D62E2E">
        <w:rPr>
          <w:color w:val="000000"/>
          <w:sz w:val="28"/>
          <w:szCs w:val="28"/>
        </w:rPr>
        <w:t>.</w:t>
      </w:r>
      <w:r w:rsidR="00FB19D2" w:rsidRPr="00D62E2E">
        <w:rPr>
          <w:color w:val="000000"/>
          <w:sz w:val="28"/>
          <w:szCs w:val="28"/>
        </w:rPr>
        <w:t xml:space="preserve"> </w:t>
      </w:r>
      <w:r w:rsidR="001E437C" w:rsidRPr="00D62E2E">
        <w:rPr>
          <w:color w:val="000000"/>
          <w:sz w:val="28"/>
          <w:szCs w:val="28"/>
        </w:rPr>
        <w:t xml:space="preserve"> Данная льгота предоставлена с целью сокращения финансовых потоков</w:t>
      </w:r>
      <w:r w:rsidR="00FB19D2" w:rsidRPr="00D62E2E">
        <w:rPr>
          <w:color w:val="000000"/>
          <w:sz w:val="28"/>
          <w:szCs w:val="28"/>
        </w:rPr>
        <w:t>, экономии бумаги, сокращению электронного документооборота и экономии рабочего времени. То же касается и льгот</w:t>
      </w:r>
      <w:r w:rsidR="00D71969">
        <w:rPr>
          <w:color w:val="000000"/>
          <w:sz w:val="28"/>
          <w:szCs w:val="28"/>
        </w:rPr>
        <w:t>ы, предоставляемой</w:t>
      </w:r>
      <w:r w:rsidR="00FB19D2" w:rsidRPr="00D62E2E">
        <w:rPr>
          <w:color w:val="000000"/>
          <w:sz w:val="28"/>
          <w:szCs w:val="28"/>
        </w:rPr>
        <w:t xml:space="preserve"> органам местного самоуправления, удельный вес которой в общей сумме налоговых льгот составляет </w:t>
      </w:r>
      <w:r w:rsidR="00973B92">
        <w:rPr>
          <w:color w:val="000000"/>
          <w:sz w:val="28"/>
          <w:szCs w:val="28"/>
        </w:rPr>
        <w:t>4,06</w:t>
      </w:r>
      <w:r w:rsidR="00FB19D2" w:rsidRPr="00D62E2E">
        <w:rPr>
          <w:color w:val="000000"/>
          <w:sz w:val="28"/>
          <w:szCs w:val="28"/>
        </w:rPr>
        <w:t>%.</w:t>
      </w:r>
    </w:p>
    <w:p w:rsidR="00FD0903" w:rsidRDefault="00D71969" w:rsidP="00C820D6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0903" w:rsidRPr="00D62E2E">
        <w:rPr>
          <w:color w:val="000000"/>
          <w:sz w:val="28"/>
          <w:szCs w:val="28"/>
        </w:rPr>
        <w:t xml:space="preserve">Льготы, предоставленные сельскохозяйственным и крестьянским (фермерским) хозяйствам, у которых выручка от произведенной и переработанной ими сельскохозяйственной продукции превышает 70% общей суммы выручки, в </w:t>
      </w:r>
      <w:r w:rsidR="00F5350D">
        <w:rPr>
          <w:color w:val="000000"/>
          <w:sz w:val="28"/>
          <w:szCs w:val="28"/>
        </w:rPr>
        <w:t xml:space="preserve">общей </w:t>
      </w:r>
      <w:r w:rsidR="00FD0903" w:rsidRPr="00D62E2E">
        <w:rPr>
          <w:color w:val="000000"/>
          <w:sz w:val="28"/>
          <w:szCs w:val="28"/>
        </w:rPr>
        <w:t xml:space="preserve">сумме </w:t>
      </w:r>
      <w:r w:rsidR="00F5350D">
        <w:rPr>
          <w:color w:val="000000"/>
          <w:sz w:val="28"/>
          <w:szCs w:val="28"/>
        </w:rPr>
        <w:t>предоставленных льгот</w:t>
      </w:r>
      <w:r w:rsidR="00FD0903" w:rsidRPr="00D62E2E">
        <w:rPr>
          <w:color w:val="000000"/>
          <w:sz w:val="28"/>
          <w:szCs w:val="28"/>
        </w:rPr>
        <w:t xml:space="preserve"> составля</w:t>
      </w:r>
      <w:r w:rsidR="00973B92">
        <w:rPr>
          <w:color w:val="000000"/>
          <w:sz w:val="28"/>
          <w:szCs w:val="28"/>
        </w:rPr>
        <w:t>ю</w:t>
      </w:r>
      <w:r w:rsidR="00FD0903" w:rsidRPr="00D62E2E">
        <w:rPr>
          <w:color w:val="000000"/>
          <w:sz w:val="28"/>
          <w:szCs w:val="28"/>
        </w:rPr>
        <w:t>т 0,6</w:t>
      </w:r>
      <w:r w:rsidR="00973B92">
        <w:rPr>
          <w:color w:val="000000"/>
          <w:sz w:val="28"/>
          <w:szCs w:val="28"/>
        </w:rPr>
        <w:t>4</w:t>
      </w:r>
      <w:r w:rsidR="00FD0903" w:rsidRPr="00D62E2E">
        <w:rPr>
          <w:color w:val="000000"/>
          <w:sz w:val="28"/>
          <w:szCs w:val="28"/>
        </w:rPr>
        <w:t>%. Данная льгота представ</w:t>
      </w:r>
      <w:r>
        <w:rPr>
          <w:color w:val="000000"/>
          <w:sz w:val="28"/>
          <w:szCs w:val="28"/>
        </w:rPr>
        <w:t>ляется</w:t>
      </w:r>
      <w:r w:rsidR="00FD0903" w:rsidRPr="00D62E2E">
        <w:rPr>
          <w:color w:val="000000"/>
          <w:sz w:val="28"/>
          <w:szCs w:val="28"/>
        </w:rPr>
        <w:t xml:space="preserve"> с целью финансовой поддержки сельхозпроизводителей, осуществляющих свою деятельность на территории </w:t>
      </w:r>
      <w:proofErr w:type="spellStart"/>
      <w:r w:rsidR="00FD0903" w:rsidRPr="00D62E2E">
        <w:rPr>
          <w:color w:val="000000"/>
          <w:sz w:val="28"/>
          <w:szCs w:val="28"/>
        </w:rPr>
        <w:t>Невьянского</w:t>
      </w:r>
      <w:proofErr w:type="spellEnd"/>
      <w:r w:rsidR="00FD0903" w:rsidRPr="00D62E2E">
        <w:rPr>
          <w:color w:val="000000"/>
          <w:sz w:val="28"/>
          <w:szCs w:val="28"/>
        </w:rPr>
        <w:t xml:space="preserve"> городского округа. </w:t>
      </w:r>
      <w:r>
        <w:rPr>
          <w:color w:val="000000"/>
          <w:sz w:val="28"/>
          <w:szCs w:val="28"/>
        </w:rPr>
        <w:t>В 2013 году л</w:t>
      </w:r>
      <w:r w:rsidR="00FD0903" w:rsidRPr="00D62E2E">
        <w:rPr>
          <w:color w:val="000000"/>
          <w:sz w:val="28"/>
          <w:szCs w:val="28"/>
        </w:rPr>
        <w:t xml:space="preserve">ьгота представлена двум организациям </w:t>
      </w:r>
      <w:r w:rsidR="000C2EB1" w:rsidRPr="00D62E2E">
        <w:rPr>
          <w:color w:val="000000"/>
          <w:sz w:val="28"/>
          <w:szCs w:val="28"/>
        </w:rPr>
        <w:t>–</w:t>
      </w:r>
      <w:r w:rsidR="00FD0903" w:rsidRPr="00D62E2E">
        <w:rPr>
          <w:color w:val="000000"/>
          <w:sz w:val="28"/>
          <w:szCs w:val="28"/>
        </w:rPr>
        <w:t xml:space="preserve"> </w:t>
      </w:r>
      <w:r w:rsidR="000C2EB1" w:rsidRPr="00D62E2E">
        <w:rPr>
          <w:color w:val="000000"/>
          <w:sz w:val="28"/>
          <w:szCs w:val="28"/>
        </w:rPr>
        <w:t>ОАО «</w:t>
      </w:r>
      <w:proofErr w:type="spellStart"/>
      <w:r w:rsidR="000C2EB1" w:rsidRPr="00D62E2E">
        <w:rPr>
          <w:color w:val="000000"/>
          <w:sz w:val="28"/>
          <w:szCs w:val="28"/>
        </w:rPr>
        <w:t>Таватуйский</w:t>
      </w:r>
      <w:proofErr w:type="spellEnd"/>
      <w:r w:rsidR="000C2EB1" w:rsidRPr="00D62E2E">
        <w:rPr>
          <w:color w:val="000000"/>
          <w:sz w:val="28"/>
          <w:szCs w:val="28"/>
        </w:rPr>
        <w:t xml:space="preserve"> рыборазводный завод» и обособленное подразделение ЗАО «</w:t>
      </w:r>
      <w:proofErr w:type="spellStart"/>
      <w:r w:rsidR="000C2EB1" w:rsidRPr="00D62E2E">
        <w:rPr>
          <w:color w:val="000000"/>
          <w:sz w:val="28"/>
          <w:szCs w:val="28"/>
        </w:rPr>
        <w:t>Аятское</w:t>
      </w:r>
      <w:proofErr w:type="spellEnd"/>
      <w:r w:rsidR="000C2EB1" w:rsidRPr="00D62E2E">
        <w:rPr>
          <w:color w:val="000000"/>
          <w:sz w:val="28"/>
          <w:szCs w:val="28"/>
        </w:rPr>
        <w:t>».</w:t>
      </w:r>
    </w:p>
    <w:p w:rsidR="00802148" w:rsidRDefault="00D62E2E" w:rsidP="00C820D6">
      <w:pPr>
        <w:jc w:val="both"/>
        <w:rPr>
          <w:b/>
          <w:caps w:val="0"/>
          <w:color w:val="000000"/>
          <w:sz w:val="28"/>
          <w:szCs w:val="28"/>
          <w:shd w:val="clear" w:color="auto" w:fill="FFFFFF"/>
        </w:rPr>
      </w:pPr>
      <w:r w:rsidRPr="00802148">
        <w:rPr>
          <w:b/>
          <w:color w:val="000000"/>
          <w:sz w:val="28"/>
          <w:szCs w:val="28"/>
        </w:rPr>
        <w:t>В</w:t>
      </w:r>
      <w:r w:rsidR="00AD77A7" w:rsidRPr="00802148">
        <w:rPr>
          <w:b/>
          <w:caps w:val="0"/>
          <w:color w:val="000000"/>
          <w:sz w:val="28"/>
          <w:szCs w:val="28"/>
          <w:shd w:val="clear" w:color="auto" w:fill="FFFFFF"/>
        </w:rPr>
        <w:t>ы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вод: </w:t>
      </w:r>
    </w:p>
    <w:p w:rsidR="00802148" w:rsidRDefault="00802148" w:rsidP="00C820D6">
      <w:pPr>
        <w:jc w:val="both"/>
        <w:rPr>
          <w:b/>
          <w:caps w:val="0"/>
          <w:color w:val="000000"/>
          <w:sz w:val="28"/>
          <w:szCs w:val="28"/>
          <w:shd w:val="clear" w:color="auto" w:fill="FFFFFF"/>
        </w:rPr>
      </w:pPr>
      <w:r>
        <w:rPr>
          <w:b/>
          <w:caps w:val="0"/>
          <w:color w:val="000000"/>
          <w:sz w:val="28"/>
          <w:szCs w:val="28"/>
          <w:shd w:val="clear" w:color="auto" w:fill="FFFFFF"/>
        </w:rPr>
        <w:t>О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>ценк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а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 экономической и бюджетной эффективност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и использования налоговых льгот необходим</w:t>
      </w:r>
      <w:r w:rsidR="00E121CF">
        <w:rPr>
          <w:b/>
          <w:caps w:val="0"/>
          <w:color w:val="000000"/>
          <w:sz w:val="28"/>
          <w:szCs w:val="28"/>
          <w:shd w:val="clear" w:color="auto" w:fill="FFFFFF"/>
        </w:rPr>
        <w:t>а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 xml:space="preserve"> не для всех льгот. Для социальных</w:t>
      </w:r>
      <w:r w:rsidR="00E121CF">
        <w:rPr>
          <w:b/>
          <w:cap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льгот,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 предоставленных </w:t>
      </w:r>
      <w:r w:rsidR="00D62E2E" w:rsidRPr="00D62E2E">
        <w:rPr>
          <w:b/>
          <w:caps w:val="0"/>
          <w:color w:val="000000"/>
          <w:sz w:val="28"/>
          <w:szCs w:val="28"/>
          <w:shd w:val="clear" w:color="auto" w:fill="FFFFFF"/>
        </w:rPr>
        <w:t>Д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умой </w:t>
      </w:r>
      <w:proofErr w:type="spellStart"/>
      <w:r w:rsidR="00D62E2E" w:rsidRPr="00D62E2E">
        <w:rPr>
          <w:b/>
          <w:caps w:val="0"/>
          <w:color w:val="000000"/>
          <w:sz w:val="28"/>
          <w:szCs w:val="28"/>
          <w:shd w:val="clear" w:color="auto" w:fill="FFFFFF"/>
        </w:rPr>
        <w:t>Н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>евьянского</w:t>
      </w:r>
      <w:proofErr w:type="spellEnd"/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 городского округа, 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он</w:t>
      </w:r>
      <w:r w:rsidR="00E121CF">
        <w:rPr>
          <w:b/>
          <w:caps w:val="0"/>
          <w:color w:val="000000"/>
          <w:sz w:val="28"/>
          <w:szCs w:val="28"/>
          <w:shd w:val="clear" w:color="auto" w:fill="FFFFFF"/>
        </w:rPr>
        <w:t>а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 xml:space="preserve"> не нуж</w:t>
      </w:r>
      <w:r w:rsidR="00E121CF">
        <w:rPr>
          <w:b/>
          <w:caps w:val="0"/>
          <w:color w:val="000000"/>
          <w:sz w:val="28"/>
          <w:szCs w:val="28"/>
          <w:shd w:val="clear" w:color="auto" w:fill="FFFFFF"/>
        </w:rPr>
        <w:t>на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,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 ввиду того, что налоговые преференции для указанных категорий физических лиц носят </w:t>
      </w:r>
      <w:r w:rsid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сугубо 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социальный характер и установлены в целях </w:t>
      </w:r>
      <w:r w:rsidR="00D62E2E" w:rsidRPr="00D62E2E">
        <w:rPr>
          <w:b/>
          <w:caps w:val="0"/>
          <w:sz w:val="28"/>
          <w:szCs w:val="28"/>
        </w:rPr>
        <w:t>поддержки незащищенных категорий граждан</w:t>
      </w:r>
      <w:r w:rsidR="00D62E2E">
        <w:rPr>
          <w:b/>
          <w:caps w:val="0"/>
          <w:sz w:val="28"/>
          <w:szCs w:val="28"/>
        </w:rPr>
        <w:t>.</w:t>
      </w:r>
      <w:r w:rsidR="00D62E2E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 </w:t>
      </w:r>
    </w:p>
    <w:p w:rsidR="004A7417" w:rsidRPr="00D62E2E" w:rsidRDefault="00D62E2E" w:rsidP="00C820D6">
      <w:pPr>
        <w:jc w:val="both"/>
        <w:rPr>
          <w:b/>
          <w:sz w:val="28"/>
          <w:szCs w:val="28"/>
        </w:rPr>
      </w:pPr>
      <w:r>
        <w:rPr>
          <w:b/>
          <w:caps w:val="0"/>
          <w:color w:val="000000"/>
          <w:sz w:val="28"/>
          <w:szCs w:val="28"/>
          <w:shd w:val="clear" w:color="auto" w:fill="FFFFFF"/>
        </w:rPr>
        <w:t xml:space="preserve">Льготы организациям, финансируемым из </w:t>
      </w:r>
      <w:r w:rsidR="00802148">
        <w:rPr>
          <w:b/>
          <w:caps w:val="0"/>
          <w:color w:val="000000"/>
          <w:sz w:val="28"/>
          <w:szCs w:val="28"/>
          <w:shd w:val="clear" w:color="auto" w:fill="FFFFFF"/>
        </w:rPr>
        <w:t xml:space="preserve">местного 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бюджета</w:t>
      </w:r>
      <w:r w:rsidR="00E121CF">
        <w:rPr>
          <w:b/>
          <w:caps w:val="0"/>
          <w:color w:val="000000"/>
          <w:sz w:val="28"/>
          <w:szCs w:val="28"/>
          <w:shd w:val="clear" w:color="auto" w:fill="FFFFFF"/>
        </w:rPr>
        <w:t>,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 xml:space="preserve"> по </w:t>
      </w:r>
      <w:proofErr w:type="gramStart"/>
      <w:r>
        <w:rPr>
          <w:b/>
          <w:caps w:val="0"/>
          <w:color w:val="000000"/>
          <w:sz w:val="28"/>
          <w:szCs w:val="28"/>
          <w:shd w:val="clear" w:color="auto" w:fill="FFFFFF"/>
        </w:rPr>
        <w:t>сути</w:t>
      </w:r>
      <w:proofErr w:type="gramEnd"/>
      <w:r>
        <w:rPr>
          <w:b/>
          <w:caps w:val="0"/>
          <w:color w:val="000000"/>
          <w:sz w:val="28"/>
          <w:szCs w:val="28"/>
          <w:shd w:val="clear" w:color="auto" w:fill="FFFFFF"/>
        </w:rPr>
        <w:t xml:space="preserve"> не являются льготами и установлены в целях сокращения финансовых потоков</w:t>
      </w:r>
      <w:r w:rsidR="00E121CF">
        <w:rPr>
          <w:b/>
          <w:caps w:val="0"/>
          <w:color w:val="000000"/>
          <w:sz w:val="28"/>
          <w:szCs w:val="28"/>
          <w:shd w:val="clear" w:color="auto" w:fill="FFFFFF"/>
        </w:rPr>
        <w:t>.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 xml:space="preserve"> </w:t>
      </w:r>
      <w:r w:rsidR="00E121CF">
        <w:rPr>
          <w:b/>
          <w:caps w:val="0"/>
          <w:color w:val="000000"/>
          <w:sz w:val="28"/>
          <w:szCs w:val="28"/>
          <w:shd w:val="clear" w:color="auto" w:fill="FFFFFF"/>
        </w:rPr>
        <w:t>Л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 xml:space="preserve">ьготы сельхозпроизводителям установлены в целях 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>содействия деятельности указанн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ой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 категори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и</w:t>
      </w:r>
      <w:r w:rsidR="00AD77A7" w:rsidRPr="00D62E2E">
        <w:rPr>
          <w:b/>
          <w:caps w:val="0"/>
          <w:color w:val="000000"/>
          <w:sz w:val="28"/>
          <w:szCs w:val="28"/>
          <w:shd w:val="clear" w:color="auto" w:fill="FFFFFF"/>
        </w:rPr>
        <w:t xml:space="preserve"> организаций и </w:t>
      </w:r>
      <w:r>
        <w:rPr>
          <w:b/>
          <w:caps w:val="0"/>
          <w:color w:val="000000"/>
          <w:sz w:val="28"/>
          <w:szCs w:val="28"/>
          <w:shd w:val="clear" w:color="auto" w:fill="FFFFFF"/>
        </w:rPr>
        <w:t>их финансовой поддержки</w:t>
      </w:r>
      <w:r w:rsidR="00C820D6">
        <w:rPr>
          <w:b/>
          <w:caps w:val="0"/>
          <w:color w:val="000000"/>
          <w:sz w:val="28"/>
          <w:szCs w:val="28"/>
          <w:shd w:val="clear" w:color="auto" w:fill="FFFFFF"/>
        </w:rPr>
        <w:t xml:space="preserve"> и потери бюджета от их представления незначительны</w:t>
      </w:r>
      <w:r w:rsidR="00DE28AD">
        <w:rPr>
          <w:b/>
          <w:caps w:val="0"/>
          <w:color w:val="000000"/>
          <w:sz w:val="28"/>
          <w:szCs w:val="28"/>
          <w:shd w:val="clear" w:color="auto" w:fill="FFFFFF"/>
        </w:rPr>
        <w:t xml:space="preserve"> – 0,04% от суммы налоговых платежей</w:t>
      </w:r>
      <w:r w:rsidR="00C820D6">
        <w:rPr>
          <w:b/>
          <w:caps w:val="0"/>
          <w:color w:val="000000"/>
          <w:sz w:val="28"/>
          <w:szCs w:val="28"/>
          <w:shd w:val="clear" w:color="auto" w:fill="FFFFFF"/>
        </w:rPr>
        <w:t>.</w:t>
      </w:r>
    </w:p>
    <w:p w:rsidR="00D62E2E" w:rsidRPr="00D62E2E" w:rsidRDefault="00D62E2E" w:rsidP="00C820D6">
      <w:pPr>
        <w:jc w:val="both"/>
        <w:rPr>
          <w:b/>
          <w:sz w:val="28"/>
          <w:szCs w:val="28"/>
        </w:rPr>
      </w:pPr>
    </w:p>
    <w:sectPr w:rsidR="00D62E2E" w:rsidRPr="00D62E2E" w:rsidSect="00C820D6">
      <w:headerReference w:type="even" r:id="rId9"/>
      <w:headerReference w:type="default" r:id="rId10"/>
      <w:footerReference w:type="even" r:id="rId11"/>
      <w:pgSz w:w="11906" w:h="16838" w:code="9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28" w:rsidRDefault="00B05C28">
      <w:r>
        <w:separator/>
      </w:r>
    </w:p>
  </w:endnote>
  <w:endnote w:type="continuationSeparator" w:id="1">
    <w:p w:rsidR="00B05C28" w:rsidRDefault="00B0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28" w:rsidRDefault="00FC39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C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C28" w:rsidRDefault="00B05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28" w:rsidRDefault="00B05C28">
      <w:r>
        <w:separator/>
      </w:r>
    </w:p>
  </w:footnote>
  <w:footnote w:type="continuationSeparator" w:id="1">
    <w:p w:rsidR="00B05C28" w:rsidRDefault="00B0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28" w:rsidRDefault="00FC39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C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C28" w:rsidRDefault="00B05C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28" w:rsidRDefault="00B05C28">
    <w:pPr>
      <w:pStyle w:val="a4"/>
      <w:framePr w:wrap="around" w:vAnchor="text" w:hAnchor="margin" w:xAlign="center" w:y="1"/>
      <w:rPr>
        <w:rStyle w:val="a5"/>
      </w:rPr>
    </w:pPr>
  </w:p>
  <w:p w:rsidR="00B05C28" w:rsidRDefault="00B05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2104"/>
    <w:rsid w:val="000148DC"/>
    <w:rsid w:val="00024176"/>
    <w:rsid w:val="000254E2"/>
    <w:rsid w:val="00027DB2"/>
    <w:rsid w:val="00034F89"/>
    <w:rsid w:val="000379DB"/>
    <w:rsid w:val="00041229"/>
    <w:rsid w:val="00046293"/>
    <w:rsid w:val="00052AC5"/>
    <w:rsid w:val="00062006"/>
    <w:rsid w:val="0008228E"/>
    <w:rsid w:val="00093ACA"/>
    <w:rsid w:val="000A04A5"/>
    <w:rsid w:val="000C2EB1"/>
    <w:rsid w:val="000C62AF"/>
    <w:rsid w:val="000E6139"/>
    <w:rsid w:val="000F473E"/>
    <w:rsid w:val="00103432"/>
    <w:rsid w:val="00103B66"/>
    <w:rsid w:val="00113B63"/>
    <w:rsid w:val="00122224"/>
    <w:rsid w:val="00124E8D"/>
    <w:rsid w:val="00126654"/>
    <w:rsid w:val="00130C3B"/>
    <w:rsid w:val="00150519"/>
    <w:rsid w:val="00155592"/>
    <w:rsid w:val="001600BB"/>
    <w:rsid w:val="00167EF8"/>
    <w:rsid w:val="00167FE0"/>
    <w:rsid w:val="00176A9A"/>
    <w:rsid w:val="00177946"/>
    <w:rsid w:val="00196C73"/>
    <w:rsid w:val="001B550E"/>
    <w:rsid w:val="001B59BB"/>
    <w:rsid w:val="001B6D5F"/>
    <w:rsid w:val="001C03CA"/>
    <w:rsid w:val="001C6309"/>
    <w:rsid w:val="001E437C"/>
    <w:rsid w:val="001E5039"/>
    <w:rsid w:val="001F224F"/>
    <w:rsid w:val="001F3838"/>
    <w:rsid w:val="001F6BCB"/>
    <w:rsid w:val="00200421"/>
    <w:rsid w:val="00201B31"/>
    <w:rsid w:val="002123AB"/>
    <w:rsid w:val="002127CF"/>
    <w:rsid w:val="002307B1"/>
    <w:rsid w:val="002411BD"/>
    <w:rsid w:val="0024301A"/>
    <w:rsid w:val="002431F4"/>
    <w:rsid w:val="0024579E"/>
    <w:rsid w:val="00251115"/>
    <w:rsid w:val="00260C28"/>
    <w:rsid w:val="00264283"/>
    <w:rsid w:val="002659B3"/>
    <w:rsid w:val="00267D6E"/>
    <w:rsid w:val="0027080D"/>
    <w:rsid w:val="0027510F"/>
    <w:rsid w:val="00277244"/>
    <w:rsid w:val="00281C99"/>
    <w:rsid w:val="00284276"/>
    <w:rsid w:val="00285FFA"/>
    <w:rsid w:val="002A1330"/>
    <w:rsid w:val="002A7563"/>
    <w:rsid w:val="002B28EB"/>
    <w:rsid w:val="002B64A6"/>
    <w:rsid w:val="002C0115"/>
    <w:rsid w:val="002C1A37"/>
    <w:rsid w:val="002D13A0"/>
    <w:rsid w:val="002D30D8"/>
    <w:rsid w:val="002D79EC"/>
    <w:rsid w:val="002E2D5A"/>
    <w:rsid w:val="002E4CDF"/>
    <w:rsid w:val="002E57AB"/>
    <w:rsid w:val="002F6991"/>
    <w:rsid w:val="00317DA8"/>
    <w:rsid w:val="00335DD0"/>
    <w:rsid w:val="0033633D"/>
    <w:rsid w:val="00343055"/>
    <w:rsid w:val="00356ADA"/>
    <w:rsid w:val="00365D4E"/>
    <w:rsid w:val="00367D95"/>
    <w:rsid w:val="0037061D"/>
    <w:rsid w:val="003715DB"/>
    <w:rsid w:val="00390C80"/>
    <w:rsid w:val="0039585D"/>
    <w:rsid w:val="003A45CF"/>
    <w:rsid w:val="003A71BD"/>
    <w:rsid w:val="003B118A"/>
    <w:rsid w:val="003B3618"/>
    <w:rsid w:val="003D083C"/>
    <w:rsid w:val="003D3D17"/>
    <w:rsid w:val="003E08DF"/>
    <w:rsid w:val="003E2771"/>
    <w:rsid w:val="003E4C0D"/>
    <w:rsid w:val="003F219E"/>
    <w:rsid w:val="003F2FAA"/>
    <w:rsid w:val="003F6FEC"/>
    <w:rsid w:val="004009A9"/>
    <w:rsid w:val="00401EEC"/>
    <w:rsid w:val="00420890"/>
    <w:rsid w:val="00431DE3"/>
    <w:rsid w:val="004337B1"/>
    <w:rsid w:val="004413A6"/>
    <w:rsid w:val="004424DD"/>
    <w:rsid w:val="00446A83"/>
    <w:rsid w:val="00481ADF"/>
    <w:rsid w:val="00494AF1"/>
    <w:rsid w:val="00495A14"/>
    <w:rsid w:val="004960B3"/>
    <w:rsid w:val="00497C69"/>
    <w:rsid w:val="004A7417"/>
    <w:rsid w:val="004B5089"/>
    <w:rsid w:val="004B62D5"/>
    <w:rsid w:val="004B7C3B"/>
    <w:rsid w:val="004D3A0A"/>
    <w:rsid w:val="004E6B7E"/>
    <w:rsid w:val="004F0C40"/>
    <w:rsid w:val="00501A30"/>
    <w:rsid w:val="005021A6"/>
    <w:rsid w:val="00504148"/>
    <w:rsid w:val="00507847"/>
    <w:rsid w:val="00514E60"/>
    <w:rsid w:val="00521982"/>
    <w:rsid w:val="00524891"/>
    <w:rsid w:val="00530457"/>
    <w:rsid w:val="00531B33"/>
    <w:rsid w:val="00537951"/>
    <w:rsid w:val="00550E56"/>
    <w:rsid w:val="00554835"/>
    <w:rsid w:val="00556A53"/>
    <w:rsid w:val="00557BE7"/>
    <w:rsid w:val="00570ED5"/>
    <w:rsid w:val="005741BE"/>
    <w:rsid w:val="005843F0"/>
    <w:rsid w:val="00586D0A"/>
    <w:rsid w:val="005A03CD"/>
    <w:rsid w:val="005A0915"/>
    <w:rsid w:val="005A4436"/>
    <w:rsid w:val="005A5A31"/>
    <w:rsid w:val="005B0450"/>
    <w:rsid w:val="005B17E5"/>
    <w:rsid w:val="005C6D8B"/>
    <w:rsid w:val="005D69EA"/>
    <w:rsid w:val="005D7617"/>
    <w:rsid w:val="005E400E"/>
    <w:rsid w:val="005E7406"/>
    <w:rsid w:val="005F0845"/>
    <w:rsid w:val="006012FC"/>
    <w:rsid w:val="00607E43"/>
    <w:rsid w:val="006120B5"/>
    <w:rsid w:val="006253AF"/>
    <w:rsid w:val="00625F60"/>
    <w:rsid w:val="00627EE8"/>
    <w:rsid w:val="00635817"/>
    <w:rsid w:val="0063712A"/>
    <w:rsid w:val="0064342A"/>
    <w:rsid w:val="00645E96"/>
    <w:rsid w:val="0065629C"/>
    <w:rsid w:val="00673E4D"/>
    <w:rsid w:val="00674D0C"/>
    <w:rsid w:val="0068149E"/>
    <w:rsid w:val="00683905"/>
    <w:rsid w:val="00692B12"/>
    <w:rsid w:val="006A64E9"/>
    <w:rsid w:val="006C0A2B"/>
    <w:rsid w:val="006C3FE8"/>
    <w:rsid w:val="006C75C7"/>
    <w:rsid w:val="006D7FD2"/>
    <w:rsid w:val="006E5979"/>
    <w:rsid w:val="006F2B47"/>
    <w:rsid w:val="00700D01"/>
    <w:rsid w:val="007067AF"/>
    <w:rsid w:val="007138E7"/>
    <w:rsid w:val="00732285"/>
    <w:rsid w:val="0074505E"/>
    <w:rsid w:val="00751638"/>
    <w:rsid w:val="00752222"/>
    <w:rsid w:val="007542CC"/>
    <w:rsid w:val="00776CBD"/>
    <w:rsid w:val="00777D96"/>
    <w:rsid w:val="007A1B2E"/>
    <w:rsid w:val="007A22C7"/>
    <w:rsid w:val="007A2728"/>
    <w:rsid w:val="007A42D7"/>
    <w:rsid w:val="007C67C6"/>
    <w:rsid w:val="007C7490"/>
    <w:rsid w:val="007D617A"/>
    <w:rsid w:val="007D70FB"/>
    <w:rsid w:val="007E0CD3"/>
    <w:rsid w:val="007E5DDC"/>
    <w:rsid w:val="007F2371"/>
    <w:rsid w:val="00802148"/>
    <w:rsid w:val="0080488C"/>
    <w:rsid w:val="008071F4"/>
    <w:rsid w:val="00814DB9"/>
    <w:rsid w:val="008306C2"/>
    <w:rsid w:val="00832030"/>
    <w:rsid w:val="008560B2"/>
    <w:rsid w:val="008603AE"/>
    <w:rsid w:val="008640FB"/>
    <w:rsid w:val="00867721"/>
    <w:rsid w:val="00867EBD"/>
    <w:rsid w:val="00881B15"/>
    <w:rsid w:val="00887F6D"/>
    <w:rsid w:val="008914F5"/>
    <w:rsid w:val="00891B2B"/>
    <w:rsid w:val="00893B1A"/>
    <w:rsid w:val="00894CE6"/>
    <w:rsid w:val="008A1F3E"/>
    <w:rsid w:val="008C4C99"/>
    <w:rsid w:val="008D7A3D"/>
    <w:rsid w:val="008E112B"/>
    <w:rsid w:val="008E7FCB"/>
    <w:rsid w:val="008F408A"/>
    <w:rsid w:val="008F4268"/>
    <w:rsid w:val="00900B5C"/>
    <w:rsid w:val="00903D3F"/>
    <w:rsid w:val="009064E8"/>
    <w:rsid w:val="00907A2C"/>
    <w:rsid w:val="00915B48"/>
    <w:rsid w:val="00917441"/>
    <w:rsid w:val="0092560B"/>
    <w:rsid w:val="00925DED"/>
    <w:rsid w:val="00932C2F"/>
    <w:rsid w:val="0094651E"/>
    <w:rsid w:val="009544CD"/>
    <w:rsid w:val="00964DF0"/>
    <w:rsid w:val="00973B92"/>
    <w:rsid w:val="00980856"/>
    <w:rsid w:val="00980F38"/>
    <w:rsid w:val="0098708B"/>
    <w:rsid w:val="00987C93"/>
    <w:rsid w:val="00997340"/>
    <w:rsid w:val="009B6E00"/>
    <w:rsid w:val="009D32A9"/>
    <w:rsid w:val="009D55A5"/>
    <w:rsid w:val="009E5E3F"/>
    <w:rsid w:val="00A1332A"/>
    <w:rsid w:val="00A149D8"/>
    <w:rsid w:val="00A209C0"/>
    <w:rsid w:val="00A21CAA"/>
    <w:rsid w:val="00A22323"/>
    <w:rsid w:val="00A273DE"/>
    <w:rsid w:val="00A4089D"/>
    <w:rsid w:val="00A46407"/>
    <w:rsid w:val="00A50770"/>
    <w:rsid w:val="00A5590C"/>
    <w:rsid w:val="00A64FC6"/>
    <w:rsid w:val="00A776A3"/>
    <w:rsid w:val="00A81B2D"/>
    <w:rsid w:val="00A92104"/>
    <w:rsid w:val="00AA1BB1"/>
    <w:rsid w:val="00AA3522"/>
    <w:rsid w:val="00AB3681"/>
    <w:rsid w:val="00AB40D0"/>
    <w:rsid w:val="00AB40D7"/>
    <w:rsid w:val="00AB47B0"/>
    <w:rsid w:val="00AC0491"/>
    <w:rsid w:val="00AD77A7"/>
    <w:rsid w:val="00AE76FF"/>
    <w:rsid w:val="00B042AD"/>
    <w:rsid w:val="00B05C28"/>
    <w:rsid w:val="00B0708C"/>
    <w:rsid w:val="00B25E62"/>
    <w:rsid w:val="00B31FBA"/>
    <w:rsid w:val="00B3641D"/>
    <w:rsid w:val="00B36FD5"/>
    <w:rsid w:val="00B42149"/>
    <w:rsid w:val="00B45055"/>
    <w:rsid w:val="00B4543A"/>
    <w:rsid w:val="00B52C61"/>
    <w:rsid w:val="00B54CE6"/>
    <w:rsid w:val="00B553F9"/>
    <w:rsid w:val="00B672C5"/>
    <w:rsid w:val="00B7083F"/>
    <w:rsid w:val="00B71C37"/>
    <w:rsid w:val="00B722D4"/>
    <w:rsid w:val="00B73CDD"/>
    <w:rsid w:val="00B765E3"/>
    <w:rsid w:val="00B81FBE"/>
    <w:rsid w:val="00B84BA1"/>
    <w:rsid w:val="00B95E55"/>
    <w:rsid w:val="00B972E1"/>
    <w:rsid w:val="00BA2C03"/>
    <w:rsid w:val="00BA567C"/>
    <w:rsid w:val="00BC27AA"/>
    <w:rsid w:val="00BC3621"/>
    <w:rsid w:val="00BC6EB5"/>
    <w:rsid w:val="00BF2FBA"/>
    <w:rsid w:val="00BF5D7C"/>
    <w:rsid w:val="00BF6C20"/>
    <w:rsid w:val="00C02BF0"/>
    <w:rsid w:val="00C12C30"/>
    <w:rsid w:val="00C251AB"/>
    <w:rsid w:val="00C3284B"/>
    <w:rsid w:val="00C44200"/>
    <w:rsid w:val="00C475A5"/>
    <w:rsid w:val="00C5208E"/>
    <w:rsid w:val="00C670DF"/>
    <w:rsid w:val="00C719C6"/>
    <w:rsid w:val="00C763CE"/>
    <w:rsid w:val="00C764C3"/>
    <w:rsid w:val="00C80DD5"/>
    <w:rsid w:val="00C820D6"/>
    <w:rsid w:val="00C82DAE"/>
    <w:rsid w:val="00C84BE5"/>
    <w:rsid w:val="00C86282"/>
    <w:rsid w:val="00C869B0"/>
    <w:rsid w:val="00C86E76"/>
    <w:rsid w:val="00C87B3D"/>
    <w:rsid w:val="00C95A14"/>
    <w:rsid w:val="00CA3714"/>
    <w:rsid w:val="00CA5E09"/>
    <w:rsid w:val="00CA6DF6"/>
    <w:rsid w:val="00CA754E"/>
    <w:rsid w:val="00CB4CD3"/>
    <w:rsid w:val="00CC31DC"/>
    <w:rsid w:val="00CC4E72"/>
    <w:rsid w:val="00CD4CFD"/>
    <w:rsid w:val="00CF432C"/>
    <w:rsid w:val="00CF4FCE"/>
    <w:rsid w:val="00CF6F59"/>
    <w:rsid w:val="00D07607"/>
    <w:rsid w:val="00D07C50"/>
    <w:rsid w:val="00D10763"/>
    <w:rsid w:val="00D260D3"/>
    <w:rsid w:val="00D34714"/>
    <w:rsid w:val="00D440CC"/>
    <w:rsid w:val="00D47D6D"/>
    <w:rsid w:val="00D57176"/>
    <w:rsid w:val="00D62E2E"/>
    <w:rsid w:val="00D63F0F"/>
    <w:rsid w:val="00D71969"/>
    <w:rsid w:val="00D7201D"/>
    <w:rsid w:val="00D83FF9"/>
    <w:rsid w:val="00D86DC4"/>
    <w:rsid w:val="00D90422"/>
    <w:rsid w:val="00D922EA"/>
    <w:rsid w:val="00D922F2"/>
    <w:rsid w:val="00D94B31"/>
    <w:rsid w:val="00D95DA6"/>
    <w:rsid w:val="00DC3DCD"/>
    <w:rsid w:val="00DD7204"/>
    <w:rsid w:val="00DE28AD"/>
    <w:rsid w:val="00DE6EAB"/>
    <w:rsid w:val="00DF7E22"/>
    <w:rsid w:val="00E01D21"/>
    <w:rsid w:val="00E11FDE"/>
    <w:rsid w:val="00E121CF"/>
    <w:rsid w:val="00E13096"/>
    <w:rsid w:val="00E14E6D"/>
    <w:rsid w:val="00E16FDC"/>
    <w:rsid w:val="00E30B13"/>
    <w:rsid w:val="00E37AF2"/>
    <w:rsid w:val="00E467F4"/>
    <w:rsid w:val="00E46C45"/>
    <w:rsid w:val="00E61EF2"/>
    <w:rsid w:val="00E812F8"/>
    <w:rsid w:val="00E8796F"/>
    <w:rsid w:val="00E95840"/>
    <w:rsid w:val="00EA005A"/>
    <w:rsid w:val="00EA5241"/>
    <w:rsid w:val="00EB61C0"/>
    <w:rsid w:val="00EB745B"/>
    <w:rsid w:val="00EB7584"/>
    <w:rsid w:val="00EC00F6"/>
    <w:rsid w:val="00EC2F47"/>
    <w:rsid w:val="00ED386F"/>
    <w:rsid w:val="00ED7460"/>
    <w:rsid w:val="00EE2396"/>
    <w:rsid w:val="00EF01A3"/>
    <w:rsid w:val="00EF6751"/>
    <w:rsid w:val="00EF6F32"/>
    <w:rsid w:val="00EF75DE"/>
    <w:rsid w:val="00F02D47"/>
    <w:rsid w:val="00F036B8"/>
    <w:rsid w:val="00F06D72"/>
    <w:rsid w:val="00F24CD2"/>
    <w:rsid w:val="00F25120"/>
    <w:rsid w:val="00F3034A"/>
    <w:rsid w:val="00F31790"/>
    <w:rsid w:val="00F320AD"/>
    <w:rsid w:val="00F347E8"/>
    <w:rsid w:val="00F43FB7"/>
    <w:rsid w:val="00F4633B"/>
    <w:rsid w:val="00F50741"/>
    <w:rsid w:val="00F5350D"/>
    <w:rsid w:val="00F5465D"/>
    <w:rsid w:val="00F634C3"/>
    <w:rsid w:val="00F63B13"/>
    <w:rsid w:val="00F65918"/>
    <w:rsid w:val="00F66BBD"/>
    <w:rsid w:val="00F72FB8"/>
    <w:rsid w:val="00F73AB8"/>
    <w:rsid w:val="00F75159"/>
    <w:rsid w:val="00F80007"/>
    <w:rsid w:val="00F8584A"/>
    <w:rsid w:val="00F93A8C"/>
    <w:rsid w:val="00FA6B15"/>
    <w:rsid w:val="00FA75EC"/>
    <w:rsid w:val="00FB19D2"/>
    <w:rsid w:val="00FB5539"/>
    <w:rsid w:val="00FC39C3"/>
    <w:rsid w:val="00FC721D"/>
    <w:rsid w:val="00FD0903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E8"/>
    <w:rPr>
      <w:caps/>
      <w:sz w:val="24"/>
    </w:rPr>
  </w:style>
  <w:style w:type="paragraph" w:styleId="2">
    <w:name w:val="heading 2"/>
    <w:basedOn w:val="a"/>
    <w:next w:val="a"/>
    <w:qFormat/>
    <w:rsid w:val="00F347E8"/>
    <w:pPr>
      <w:keepNext/>
      <w:spacing w:line="312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347E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7E8"/>
    <w:pPr>
      <w:jc w:val="center"/>
    </w:pPr>
  </w:style>
  <w:style w:type="paragraph" w:styleId="a4">
    <w:name w:val="header"/>
    <w:basedOn w:val="a"/>
    <w:rsid w:val="00F347E8"/>
    <w:pPr>
      <w:tabs>
        <w:tab w:val="center" w:pos="4677"/>
        <w:tab w:val="right" w:pos="9355"/>
      </w:tabs>
    </w:pPr>
  </w:style>
  <w:style w:type="paragraph" w:customStyle="1" w:styleId="XXL">
    <w:name w:val="XXL_Письмо"/>
    <w:basedOn w:val="a"/>
    <w:rsid w:val="00F347E8"/>
    <w:pPr>
      <w:spacing w:line="360" w:lineRule="auto"/>
      <w:ind w:firstLine="709"/>
      <w:jc w:val="both"/>
    </w:pPr>
    <w:rPr>
      <w:sz w:val="28"/>
    </w:rPr>
  </w:style>
  <w:style w:type="paragraph" w:customStyle="1" w:styleId="XXL0">
    <w:name w:val="XXL_Адрес"/>
    <w:basedOn w:val="a"/>
    <w:rsid w:val="00F347E8"/>
    <w:pPr>
      <w:spacing w:line="360" w:lineRule="auto"/>
      <w:jc w:val="right"/>
    </w:pPr>
    <w:rPr>
      <w:caps w:val="0"/>
      <w:sz w:val="28"/>
    </w:rPr>
  </w:style>
  <w:style w:type="character" w:styleId="a5">
    <w:name w:val="page number"/>
    <w:basedOn w:val="a0"/>
    <w:rsid w:val="00F347E8"/>
  </w:style>
  <w:style w:type="paragraph" w:styleId="a6">
    <w:name w:val="footer"/>
    <w:basedOn w:val="a"/>
    <w:rsid w:val="00F347E8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F347E8"/>
    <w:rPr>
      <w:sz w:val="20"/>
    </w:rPr>
  </w:style>
  <w:style w:type="character" w:styleId="a8">
    <w:name w:val="endnote reference"/>
    <w:basedOn w:val="a0"/>
    <w:semiHidden/>
    <w:rsid w:val="00F347E8"/>
    <w:rPr>
      <w:vertAlign w:val="superscript"/>
    </w:rPr>
  </w:style>
  <w:style w:type="paragraph" w:styleId="a9">
    <w:name w:val="footnote text"/>
    <w:basedOn w:val="a"/>
    <w:semiHidden/>
    <w:rsid w:val="00F347E8"/>
    <w:rPr>
      <w:sz w:val="20"/>
    </w:rPr>
  </w:style>
  <w:style w:type="character" w:styleId="aa">
    <w:name w:val="footnote reference"/>
    <w:basedOn w:val="a0"/>
    <w:semiHidden/>
    <w:rsid w:val="00F347E8"/>
    <w:rPr>
      <w:vertAlign w:val="superscript"/>
    </w:rPr>
  </w:style>
  <w:style w:type="paragraph" w:customStyle="1" w:styleId="XXL1">
    <w:name w:val="XXL_Сноска"/>
    <w:basedOn w:val="a9"/>
    <w:rsid w:val="00F347E8"/>
    <w:pPr>
      <w:jc w:val="right"/>
    </w:pPr>
    <w:rPr>
      <w:rFonts w:ascii="Arial Narrow" w:hAnsi="Arial Narrow"/>
      <w:sz w:val="16"/>
    </w:rPr>
  </w:style>
  <w:style w:type="character" w:styleId="ab">
    <w:name w:val="annotation reference"/>
    <w:basedOn w:val="a0"/>
    <w:semiHidden/>
    <w:rsid w:val="00F347E8"/>
    <w:rPr>
      <w:sz w:val="16"/>
      <w:szCs w:val="16"/>
    </w:rPr>
  </w:style>
  <w:style w:type="paragraph" w:styleId="ac">
    <w:name w:val="annotation text"/>
    <w:basedOn w:val="a"/>
    <w:semiHidden/>
    <w:rsid w:val="00F347E8"/>
    <w:rPr>
      <w:sz w:val="20"/>
    </w:rPr>
  </w:style>
  <w:style w:type="paragraph" w:customStyle="1" w:styleId="ind">
    <w:name w:val="ind"/>
    <w:basedOn w:val="a"/>
    <w:rsid w:val="00F347E8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ConsPlusCell">
    <w:name w:val="ConsPlusCell"/>
    <w:rsid w:val="00CA3714"/>
    <w:pPr>
      <w:widowControl w:val="0"/>
      <w:autoSpaceDE w:val="0"/>
      <w:autoSpaceDN w:val="0"/>
      <w:adjustRightInd w:val="0"/>
    </w:pPr>
    <w:rPr>
      <w:rFonts w:ascii="Arial" w:hAnsi="Arial" w:cs="Arial"/>
      <w:caps/>
      <w:sz w:val="24"/>
    </w:rPr>
  </w:style>
  <w:style w:type="table" w:styleId="ad">
    <w:name w:val="Table Grid"/>
    <w:basedOn w:val="a1"/>
    <w:rsid w:val="007E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343055"/>
    <w:pPr>
      <w:shd w:val="clear" w:color="auto" w:fill="000080"/>
    </w:pPr>
    <w:rPr>
      <w:rFonts w:ascii="Tahoma" w:hAnsi="Tahoma" w:cs="Tahoma"/>
      <w:sz w:val="20"/>
    </w:rPr>
  </w:style>
  <w:style w:type="paragraph" w:styleId="af">
    <w:name w:val="Normal (Web)"/>
    <w:basedOn w:val="a"/>
    <w:uiPriority w:val="99"/>
    <w:unhideWhenUsed/>
    <w:rsid w:val="00ED7460"/>
    <w:pPr>
      <w:spacing w:before="100" w:beforeAutospacing="1" w:after="100" w:afterAutospacing="1"/>
    </w:pPr>
    <w:rPr>
      <w:caps w:val="0"/>
      <w:szCs w:val="24"/>
    </w:rPr>
  </w:style>
  <w:style w:type="character" w:styleId="af0">
    <w:name w:val="Hyperlink"/>
    <w:basedOn w:val="a0"/>
    <w:uiPriority w:val="99"/>
    <w:unhideWhenUsed/>
    <w:rsid w:val="00ED74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7460"/>
  </w:style>
  <w:style w:type="character" w:customStyle="1" w:styleId="bra">
    <w:name w:val="bra"/>
    <w:basedOn w:val="a0"/>
    <w:rsid w:val="00ED7460"/>
  </w:style>
  <w:style w:type="character" w:customStyle="1" w:styleId="quot">
    <w:name w:val="quot"/>
    <w:basedOn w:val="a0"/>
    <w:rsid w:val="00ED7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91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018A-354F-4166-8E44-108D821B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угловой штамп</Template>
  <TotalTime>2</TotalTime>
  <Pages>5</Pages>
  <Words>929</Words>
  <Characters>7379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Исполнитель: Кузнецова Т. В.</vt:lpstr>
      <vt:lpstr>Из-за предоставления налоговых льгот, бюджет Невьянского городского округ</vt:lpstr>
      <vt:lpstr>Планом мероприятий («дорожной картой») по повышению доходного потенциала Не</vt:lpstr>
    </vt:vector>
  </TitlesOfParts>
  <Manager>Бровко Борис Семенович</Manager>
  <Company>Финансовое управление г.Невьянск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KuznetsovaTV</cp:lastModifiedBy>
  <cp:revision>2</cp:revision>
  <cp:lastPrinted>2014-09-30T07:53:00Z</cp:lastPrinted>
  <dcterms:created xsi:type="dcterms:W3CDTF">2015-03-23T09:40:00Z</dcterms:created>
  <dcterms:modified xsi:type="dcterms:W3CDTF">2015-03-23T09:40:00Z</dcterms:modified>
  <cp:category>Письма ФУ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 linkTarget="Адресат">
    <vt:lpwstr/>
  </property>
</Properties>
</file>