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47666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23130043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47666C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E37233">
        <w:rPr>
          <w:rFonts w:ascii="Times New Roman" w:hAnsi="Times New Roman"/>
          <w:b/>
          <w:sz w:val="24"/>
          <w:szCs w:val="24"/>
        </w:rPr>
        <w:t>_________________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     </w:t>
      </w:r>
      <w:r w:rsidR="00E37233">
        <w:rPr>
          <w:rFonts w:ascii="Times New Roman" w:hAnsi="Times New Roman"/>
          <w:b/>
          <w:sz w:val="24"/>
          <w:szCs w:val="24"/>
        </w:rPr>
        <w:t xml:space="preserve"> 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E37233">
        <w:rPr>
          <w:rFonts w:ascii="Times New Roman" w:hAnsi="Times New Roman"/>
          <w:b/>
          <w:sz w:val="24"/>
          <w:szCs w:val="24"/>
        </w:rPr>
        <w:t>______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4D0A01">
        <w:rPr>
          <w:rFonts w:ascii="Times New Roman" w:hAnsi="Times New Roman"/>
          <w:i/>
          <w:color w:val="auto"/>
          <w:sz w:val="24"/>
          <w:szCs w:val="24"/>
        </w:rPr>
        <w:t>в</w:t>
      </w:r>
      <w:proofErr w:type="gramEnd"/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gramStart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</w:t>
      </w:r>
      <w:proofErr w:type="gramEnd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городском округе до 2021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="000E75DC">
        <w:rPr>
          <w:rFonts w:ascii="Times New Roman" w:hAnsi="Times New Roman"/>
          <w:sz w:val="24"/>
          <w:szCs w:val="24"/>
        </w:rPr>
        <w:t>Невьянского городского округа»,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B3450" w:rsidRDefault="004B3450" w:rsidP="004B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496 434,5</w:t>
            </w:r>
            <w:r w:rsidR="00C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2015 год - 70 422,2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2016 год - 56 158,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17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2017 год - 72 547,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2018 год - 64 433,9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2019 год - 89 329,7</w:t>
            </w:r>
            <w:r w:rsidR="00CD3C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2020 год - 74 830,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66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2021 год - 68 712,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69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C4742" w:rsidRPr="009C4742" w:rsidRDefault="00960433" w:rsidP="009C4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20 812,49</w:t>
            </w:r>
            <w:r w:rsidR="009C4742"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2015 год - 13 139,3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2016 год - 436,7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lastRenderedPageBreak/>
              <w:t>2017 год - 5 915,1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2018 год - 660,0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2019 год - 661,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39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9C4742" w:rsidRPr="009C4742" w:rsidRDefault="00A342A6" w:rsidP="009C4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475 622,0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C4742"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2015 год - 57 282,9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2016 год - 55 721,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47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2017 год - 66 632,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2018 год - 63 773,9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2019 год - 88 668,3</w:t>
            </w:r>
            <w:r w:rsidR="00CD3C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2020 год - 74 830,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66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4B3450" w:rsidRDefault="009C4742" w:rsidP="00960433">
            <w:pPr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2021 год - 68 712,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69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3A7B" w:rsidRDefault="00825EB5" w:rsidP="00536A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4B3450" w:rsidRDefault="004C2937" w:rsidP="00B5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6795">
        <w:rPr>
          <w:rFonts w:ascii="Times New Roman" w:hAnsi="Times New Roman"/>
          <w:sz w:val="24"/>
          <w:szCs w:val="24"/>
        </w:rPr>
        <w:t xml:space="preserve">) </w:t>
      </w:r>
      <w:r w:rsidR="00B56795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B56795" w:rsidRPr="008D4E49">
        <w:rPr>
          <w:rFonts w:ascii="Times New Roman" w:hAnsi="Times New Roman"/>
          <w:sz w:val="24"/>
          <w:szCs w:val="24"/>
        </w:rPr>
        <w:t>5</w:t>
      </w:r>
      <w:r w:rsidR="00B56795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7B02AD">
        <w:rPr>
          <w:rFonts w:ascii="Times New Roman" w:hAnsi="Times New Roman"/>
          <w:sz w:val="24"/>
          <w:szCs w:val="24"/>
        </w:rPr>
        <w:t>1</w:t>
      </w:r>
      <w:r w:rsidR="00B56795" w:rsidRPr="002423E1">
        <w:rPr>
          <w:rFonts w:ascii="Times New Roman" w:hAnsi="Times New Roman"/>
          <w:sz w:val="24"/>
          <w:szCs w:val="24"/>
        </w:rPr>
        <w:t xml:space="preserve">. </w:t>
      </w:r>
      <w:r w:rsidR="00B56795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05BBC" w:rsidRPr="00005BBC"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="00B56795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B56795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B56795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 w:rsidR="00B56795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B56795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B56795">
        <w:rPr>
          <w:rFonts w:ascii="Times New Roman" w:hAnsi="Times New Roman"/>
          <w:sz w:val="24"/>
          <w:szCs w:val="24"/>
        </w:rPr>
        <w:t xml:space="preserve"> </w:t>
      </w:r>
      <w:r w:rsidR="00B5679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0F6AF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F6A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4B3450" w:rsidRPr="004B3450" w:rsidRDefault="004B3450" w:rsidP="000F6AF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F6A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4B3450" w:rsidRPr="004B3450" w:rsidRDefault="004B3450" w:rsidP="004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4715" w:type="dxa"/>
          </w:tcPr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33 905,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2015 год - 2 748,5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2016 год - 3 425,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2017 год - 4 632,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2018 год - 5 440,5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2019 год - 6 201,4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2020 год - 5 619,3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60433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- 5 838,15</w:t>
            </w:r>
            <w:r w:rsidR="009C4742"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1 335,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2015 год - 158,0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2016 год - 170,0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2017 год - 270,6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2018 год - 382,0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2019 год - 354,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2020 год - 0,0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60433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- 0,00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32 570,2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11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2015 год - 2 590,5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2016 год - 3 255,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60433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- 4 362,06</w:t>
            </w:r>
            <w:r w:rsidR="009C4742"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742"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2018 год - 5 058,5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2019 год - 5 846,5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2020 год - 5 619,3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742" w:rsidRPr="004B3450" w:rsidRDefault="009C4742" w:rsidP="00960433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>2021 год - 5 838,</w:t>
            </w:r>
            <w:r w:rsidR="0096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2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6795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F6AFC" w:rsidRDefault="000F6AFC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6AFC" w:rsidRDefault="000F6AFC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5734B" w:rsidRPr="00E5734B" w:rsidRDefault="009C4742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E5734B" w:rsidRPr="00E5734B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 w:rsidR="00E5734B">
        <w:rPr>
          <w:rFonts w:ascii="Times New Roman" w:hAnsi="Times New Roman"/>
          <w:sz w:val="24"/>
          <w:szCs w:val="24"/>
        </w:rPr>
        <w:t>3</w:t>
      </w:r>
      <w:r w:rsidR="00E5734B" w:rsidRPr="00E5734B">
        <w:rPr>
          <w:rFonts w:ascii="Times New Roman" w:hAnsi="Times New Roman"/>
          <w:sz w:val="24"/>
          <w:szCs w:val="24"/>
        </w:rPr>
        <w:t xml:space="preserve">. </w:t>
      </w:r>
      <w:r w:rsidR="00E5734B" w:rsidRPr="00E5734B">
        <w:rPr>
          <w:rFonts w:ascii="Times New Roman" w:hAnsi="Times New Roman"/>
          <w:bCs/>
          <w:sz w:val="24"/>
          <w:szCs w:val="24"/>
        </w:rPr>
        <w:t>«</w:t>
      </w:r>
      <w:r w:rsidR="00DF0E11" w:rsidRPr="00DF0E11">
        <w:rPr>
          <w:rFonts w:ascii="Times New Roman" w:hAnsi="Times New Roman"/>
          <w:bCs/>
          <w:sz w:val="24"/>
          <w:szCs w:val="24"/>
        </w:rPr>
        <w:t>Развитие дополнительного образования в области физической культуры и спорта</w:t>
      </w:r>
      <w:r w:rsidR="00E5734B" w:rsidRPr="00E5734B">
        <w:rPr>
          <w:rFonts w:ascii="Times New Roman" w:hAnsi="Times New Roman"/>
          <w:bCs/>
          <w:sz w:val="24"/>
          <w:szCs w:val="24"/>
        </w:rPr>
        <w:t>»</w:t>
      </w:r>
      <w:r w:rsidR="00E5734B" w:rsidRPr="00E5734B">
        <w:rPr>
          <w:rFonts w:ascii="Times New Roman" w:hAnsi="Times New Roman"/>
          <w:sz w:val="24"/>
          <w:szCs w:val="24"/>
        </w:rPr>
        <w:t xml:space="preserve"> муниципальной программы «Развитие физической культуры, спорта и молодежной политики в Невьянском городском округе до 2021 года» изложить в следующей редакции: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5734B" w:rsidRPr="00E5734B" w:rsidTr="00E5734B">
        <w:tc>
          <w:tcPr>
            <w:tcW w:w="4715" w:type="dxa"/>
          </w:tcPr>
          <w:p w:rsidR="00E5734B" w:rsidRPr="00E5734B" w:rsidRDefault="00E5734B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734B" w:rsidRPr="00E5734B" w:rsidRDefault="00E5734B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E5734B" w:rsidRPr="00E5734B" w:rsidRDefault="00E5734B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4715" w:type="dxa"/>
          </w:tcPr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F0E11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314 550,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77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2015 год - 46 953,7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2016 год - 37 165,3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2017 год - 41 955,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2018 год - 34 35</w:t>
            </w:r>
            <w:r w:rsidR="00960433">
              <w:rPr>
                <w:rFonts w:ascii="Times New Roman" w:hAnsi="Times New Roman"/>
                <w:sz w:val="24"/>
                <w:szCs w:val="24"/>
              </w:rPr>
              <w:t>8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97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2019 год - 59 794,3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2020 год - 50 637,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86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2021 год - 43 685,5</w:t>
            </w:r>
            <w:r w:rsidR="00960433">
              <w:rPr>
                <w:rFonts w:ascii="Times New Roman" w:hAnsi="Times New Roman"/>
                <w:sz w:val="24"/>
                <w:szCs w:val="24"/>
              </w:rPr>
              <w:t>4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18 524,6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2015 год - 12 879,0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2016 год - 196,8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2017 год - 5 448,8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2018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2019 год - 0,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296 026,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17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2015 год - 34 074,7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2016 год - 36 968,5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2017 год - 36 506,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29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2018 год - 34 35</w:t>
            </w:r>
            <w:r w:rsidR="00960433">
              <w:rPr>
                <w:rFonts w:ascii="Times New Roman" w:hAnsi="Times New Roman"/>
                <w:sz w:val="24"/>
                <w:szCs w:val="24"/>
              </w:rPr>
              <w:t>8,97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2019 год - 59 794,3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9C4742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2020 год - 50 637,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86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742" w:rsidRPr="00E5734B" w:rsidRDefault="009C4742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742">
              <w:rPr>
                <w:rFonts w:ascii="Times New Roman" w:hAnsi="Times New Roman"/>
                <w:sz w:val="24"/>
                <w:szCs w:val="24"/>
              </w:rPr>
              <w:t>2021 год - 43 685,5</w:t>
            </w:r>
            <w:r w:rsidR="00960433">
              <w:rPr>
                <w:rFonts w:ascii="Times New Roman" w:hAnsi="Times New Roman"/>
                <w:sz w:val="24"/>
                <w:szCs w:val="24"/>
              </w:rPr>
              <w:t>4</w:t>
            </w:r>
            <w:r w:rsidRPr="009C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t>».</w:t>
      </w:r>
    </w:p>
    <w:p w:rsidR="00E5734B" w:rsidRPr="00E5734B" w:rsidRDefault="00D34F84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734B" w:rsidRPr="00E5734B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 w:rsidR="00E5734B">
        <w:rPr>
          <w:rFonts w:ascii="Times New Roman" w:hAnsi="Times New Roman"/>
          <w:sz w:val="24"/>
          <w:szCs w:val="24"/>
        </w:rPr>
        <w:t>4</w:t>
      </w:r>
      <w:r w:rsidR="00E5734B" w:rsidRPr="00E5734B">
        <w:rPr>
          <w:rFonts w:ascii="Times New Roman" w:hAnsi="Times New Roman"/>
          <w:sz w:val="24"/>
          <w:szCs w:val="24"/>
        </w:rPr>
        <w:t xml:space="preserve">. </w:t>
      </w:r>
      <w:r w:rsidR="00E5734B" w:rsidRPr="00E5734B">
        <w:rPr>
          <w:rFonts w:ascii="Times New Roman" w:hAnsi="Times New Roman"/>
          <w:bCs/>
          <w:sz w:val="24"/>
          <w:szCs w:val="24"/>
        </w:rPr>
        <w:t>«</w:t>
      </w:r>
      <w:r w:rsidR="00DF0E11" w:rsidRPr="00DF0E11">
        <w:rPr>
          <w:rFonts w:ascii="Times New Roman" w:hAnsi="Times New Roman"/>
          <w:bCs/>
          <w:sz w:val="24"/>
          <w:szCs w:val="24"/>
        </w:rPr>
        <w:t>Развитие физической культуры, спорта на территории Невьянского городского округа</w:t>
      </w:r>
      <w:r w:rsidR="00E5734B" w:rsidRPr="00E5734B">
        <w:rPr>
          <w:rFonts w:ascii="Times New Roman" w:hAnsi="Times New Roman"/>
          <w:bCs/>
          <w:sz w:val="24"/>
          <w:szCs w:val="24"/>
        </w:rPr>
        <w:t>»</w:t>
      </w:r>
      <w:r w:rsidR="00E5734B" w:rsidRPr="00E5734B">
        <w:rPr>
          <w:rFonts w:ascii="Times New Roman" w:hAnsi="Times New Roman"/>
          <w:sz w:val="24"/>
          <w:szCs w:val="24"/>
        </w:rPr>
        <w:t xml:space="preserve"> муниципальной программы «Развитие физической культуры, спорта и молодежной политики в Невьянском городском округе до 2021 года» изложить в следующей редакции: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5734B" w:rsidRPr="00E5734B" w:rsidTr="00E5734B">
        <w:tc>
          <w:tcPr>
            <w:tcW w:w="4715" w:type="dxa"/>
          </w:tcPr>
          <w:p w:rsidR="00E5734B" w:rsidRPr="00E5734B" w:rsidRDefault="00E5734B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734B" w:rsidRPr="00E5734B" w:rsidRDefault="00E5734B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E5734B" w:rsidRPr="00E5734B" w:rsidRDefault="00E5734B" w:rsidP="009C47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4715" w:type="dxa"/>
          </w:tcPr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34F84" w:rsidRPr="00D34F84" w:rsidRDefault="00960433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140 613,8</w:t>
            </w:r>
            <w:r w:rsidR="00D3122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34F84"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2015 год - 19 706,9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2016 год - 14 577,9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2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960433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- 24 995,09</w:t>
            </w:r>
            <w:r w:rsidR="00D34F84"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="00D34F84"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2018 год - 23 473,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58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2019 год - 21 972,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6</w:t>
            </w:r>
            <w:r w:rsidR="00D3122D">
              <w:rPr>
                <w:rFonts w:ascii="Times New Roman" w:hAnsi="Times New Roman"/>
                <w:sz w:val="24"/>
                <w:szCs w:val="24"/>
              </w:rPr>
              <w:t>6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2020 год - 17 654,1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2021 год - 18 233,6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343,9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2015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lastRenderedPageBreak/>
              <w:t>2016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2017 год - 134,4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2018 год - 95,9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2019 год - 113,6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34F84" w:rsidRPr="00D34F84" w:rsidRDefault="00960433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140 269,9</w:t>
            </w:r>
            <w:r w:rsidR="00A342A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34F84"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2015 год - 19 706,9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2016 год - 14 577,9</w:t>
            </w:r>
            <w:r w:rsidR="00960433">
              <w:rPr>
                <w:rFonts w:ascii="Times New Roman" w:hAnsi="Times New Roman"/>
                <w:sz w:val="24"/>
                <w:szCs w:val="24"/>
              </w:rPr>
              <w:t>2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2017 год - 24 860,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69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960433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- 23 377,68</w:t>
            </w:r>
            <w:r w:rsidR="00D34F84"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="00D34F84"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2019 год - 21 859,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="00D3122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D34F84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2020 год - 17 654,1</w:t>
            </w:r>
            <w:r w:rsidR="00960433">
              <w:rPr>
                <w:rFonts w:ascii="Times New Roman" w:hAnsi="Times New Roman"/>
                <w:sz w:val="24"/>
                <w:szCs w:val="24"/>
              </w:rPr>
              <w:t>0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F84" w:rsidRPr="00E5734B" w:rsidRDefault="00D34F84" w:rsidP="00D34F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4F84">
              <w:rPr>
                <w:rFonts w:ascii="Times New Roman" w:hAnsi="Times New Roman"/>
                <w:sz w:val="24"/>
                <w:szCs w:val="24"/>
              </w:rPr>
              <w:t>2021 год - 18 233,6</w:t>
            </w:r>
            <w:r w:rsidR="00960433">
              <w:rPr>
                <w:rFonts w:ascii="Times New Roman" w:hAnsi="Times New Roman"/>
                <w:sz w:val="24"/>
                <w:szCs w:val="24"/>
              </w:rPr>
              <w:t>1</w:t>
            </w:r>
            <w:r w:rsidRPr="00D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923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923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92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6AFC" w:rsidRDefault="00D34F84" w:rsidP="00D3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D34F84" w:rsidRPr="00D34F84" w:rsidRDefault="00D34F84" w:rsidP="00D3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34F84">
        <w:rPr>
          <w:rFonts w:ascii="Times New Roman" w:hAnsi="Times New Roman"/>
          <w:sz w:val="24"/>
          <w:szCs w:val="24"/>
        </w:rPr>
        <w:t xml:space="preserve">) 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D34F84">
        <w:rPr>
          <w:rFonts w:ascii="Times New Roman" w:hAnsi="Times New Roman"/>
          <w:sz w:val="24"/>
          <w:szCs w:val="24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Pr="00D34F84">
        <w:rPr>
          <w:rFonts w:ascii="Times New Roman" w:hAnsi="Times New Roman"/>
          <w:sz w:val="24"/>
          <w:szCs w:val="24"/>
        </w:rPr>
        <w:t>в</w:t>
      </w:r>
      <w:proofErr w:type="gramEnd"/>
      <w:r w:rsidRPr="00D34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F84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D34F84">
        <w:rPr>
          <w:rFonts w:ascii="Times New Roman" w:hAnsi="Times New Roman"/>
          <w:sz w:val="24"/>
          <w:szCs w:val="24"/>
        </w:rPr>
        <w:t xml:space="preserve"> городском округе до 2021 года» изложить в новой редакции (прилагается).</w:t>
      </w:r>
    </w:p>
    <w:p w:rsidR="00055235" w:rsidRDefault="00DF0E11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2. Контроль за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1AD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3.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2D197F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2D197F">
        <w:rPr>
          <w:rFonts w:ascii="Times New Roman" w:hAnsi="Times New Roman"/>
          <w:sz w:val="24"/>
          <w:szCs w:val="24"/>
        </w:rPr>
        <w:t xml:space="preserve">  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2D197F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>.</w:t>
      </w:r>
      <w:r w:rsidR="002D197F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197F"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FC7EE7">
          <w:headerReference w:type="default" r:id="rId10"/>
          <w:headerReference w:type="first" r:id="rId11"/>
          <w:pgSz w:w="11906" w:h="16838"/>
          <w:pgMar w:top="567" w:right="991" w:bottom="28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6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2301"/>
        <w:gridCol w:w="39"/>
        <w:gridCol w:w="1153"/>
        <w:gridCol w:w="101"/>
        <w:gridCol w:w="450"/>
        <w:gridCol w:w="689"/>
        <w:gridCol w:w="36"/>
        <w:gridCol w:w="1104"/>
        <w:gridCol w:w="30"/>
        <w:gridCol w:w="1121"/>
        <w:gridCol w:w="13"/>
        <w:gridCol w:w="1134"/>
        <w:gridCol w:w="132"/>
        <w:gridCol w:w="1002"/>
        <w:gridCol w:w="141"/>
        <w:gridCol w:w="718"/>
        <w:gridCol w:w="416"/>
        <w:gridCol w:w="863"/>
        <w:gridCol w:w="555"/>
        <w:gridCol w:w="862"/>
        <w:gridCol w:w="1264"/>
        <w:gridCol w:w="145"/>
        <w:gridCol w:w="718"/>
      </w:tblGrid>
      <w:tr w:rsidR="00A224DE" w:rsidRPr="00A224DE" w:rsidTr="00D34F14">
        <w:trPr>
          <w:trHeight w:val="510"/>
        </w:trPr>
        <w:tc>
          <w:tcPr>
            <w:tcW w:w="15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1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4415"/>
              <w:gridCol w:w="1069"/>
              <w:gridCol w:w="1134"/>
              <w:gridCol w:w="992"/>
              <w:gridCol w:w="992"/>
              <w:gridCol w:w="719"/>
              <w:gridCol w:w="4744"/>
            </w:tblGrid>
            <w:tr w:rsidR="00D34F14" w:rsidRPr="00D34F14" w:rsidTr="00D34F14">
              <w:trPr>
                <w:trHeight w:val="1399"/>
              </w:trPr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ind w:left="-108" w:right="-184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Приложение к постановлению администрации Невьянского городского округа</w:t>
                  </w:r>
                </w:p>
                <w:p w:rsidR="00D34F14" w:rsidRPr="00D34F14" w:rsidRDefault="00D34F14" w:rsidP="00D34F14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                  2019 г.  №              - </w:t>
                  </w:r>
                  <w:proofErr w:type="gramStart"/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</w:t>
                  </w:r>
                  <w:proofErr w:type="gramEnd"/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</w:t>
                  </w:r>
                </w:p>
                <w:p w:rsidR="00D34F14" w:rsidRPr="00D34F14" w:rsidRDefault="00D34F14" w:rsidP="00D34F14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  </w:t>
                  </w:r>
                </w:p>
                <w:p w:rsidR="00D34F14" w:rsidRPr="00D34F14" w:rsidRDefault="00D34F14" w:rsidP="00D34F14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Приложение № 1 к муниципальной программе «Развитие физической культуры, спорта и молодежной политики </w:t>
                  </w:r>
                  <w:proofErr w:type="gramStart"/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</w:t>
                  </w:r>
                  <w:proofErr w:type="gramEnd"/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Невьянском</w:t>
                  </w:r>
                  <w:proofErr w:type="gramEnd"/>
                  <w:r w:rsidRPr="00D34F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городском округе до 2021 года»</w:t>
                  </w:r>
                </w:p>
              </w:tc>
            </w:tr>
          </w:tbl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D34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LINK </w:instrText>
            </w:r>
            <w:r w:rsidR="00CD3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Excel.Sheet.8 "C:\\Users\\cspng\\Desktop\\программа\\2018\\октябрь\\Цели и задачи, целевые показатели муниципальной программы (3).xls" Sheet1!R3C1:R50C11 </w:instrText>
            </w:r>
            <w:r w:rsidRPr="00D34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\a \f 4 \h  \* MERGEFORMAT </w:instrText>
            </w:r>
            <w:r w:rsidRPr="00D34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</w:p>
          <w:tbl>
            <w:tblPr>
              <w:tblW w:w="1516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34F14" w:rsidRPr="00D34F14" w:rsidTr="00D34F14">
              <w:trPr>
                <w:trHeight w:val="52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ЦЕЛИ, ЗАДАЧИ И ЦЕЛЕВЫЕ ПОКАЗАТЕЛИ</w:t>
                  </w:r>
                </w:p>
              </w:tc>
            </w:tr>
            <w:tr w:rsidR="00D34F14" w:rsidRPr="00D34F14" w:rsidTr="00D34F14">
              <w:trPr>
                <w:trHeight w:val="25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реализации муниципальной программы</w:t>
                  </w:r>
                </w:p>
              </w:tc>
            </w:tr>
            <w:tr w:rsidR="00D34F14" w:rsidRPr="00D34F14" w:rsidTr="00035097">
              <w:trPr>
                <w:trHeight w:val="510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4F14" w:rsidRPr="00D34F14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«Развитие физической культуры, спорта и молодежной политики </w:t>
                  </w:r>
                  <w:proofErr w:type="gramStart"/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Невьянском</w:t>
                  </w:r>
                  <w:proofErr w:type="gramEnd"/>
                  <w:r w:rsidRPr="00D34F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городском округе до 2021 года»</w:t>
                  </w:r>
                </w:p>
              </w:tc>
            </w:tr>
          </w:tbl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060"/>
              <w:gridCol w:w="1339"/>
              <w:gridCol w:w="953"/>
              <w:gridCol w:w="1134"/>
              <w:gridCol w:w="993"/>
              <w:gridCol w:w="992"/>
              <w:gridCol w:w="992"/>
              <w:gridCol w:w="992"/>
              <w:gridCol w:w="993"/>
              <w:gridCol w:w="2835"/>
            </w:tblGrid>
            <w:tr w:rsidR="00D34F14" w:rsidRPr="00035097" w:rsidTr="00D34F14">
              <w:trPr>
                <w:trHeight w:val="390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строки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Наименование цели (целей) и задач, целевых показателей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4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Источник значений показателей</w:t>
                  </w:r>
                </w:p>
              </w:tc>
            </w:tr>
            <w:tr w:rsidR="00D34F14" w:rsidRPr="00035097" w:rsidTr="00D34F14">
              <w:trPr>
                <w:trHeight w:val="255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D34F14" w:rsidRPr="00035097" w:rsidTr="00D34F14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</w:t>
                  </w:r>
                </w:p>
              </w:tc>
            </w:tr>
            <w:tr w:rsidR="00D34F14" w:rsidRPr="00035097" w:rsidTr="00D34F14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Подпрограмма 1. "Молодежь Невьянского городского округа"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Цель 1.1. </w:t>
                  </w:r>
                  <w:proofErr w:type="spellStart"/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C</w:t>
                  </w:r>
                  <w:proofErr w:type="gram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оздание</w:t>
                  </w:r>
                  <w:proofErr w:type="spell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229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1.1.1.1.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1.1.1.2.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1.1.2.1.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1.1.3. Содействие в обеспечении занятости и трудоустройства подростков и молодежи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1.1.3.1.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молодежи и подростков, занятых и трудоустроенных в летний период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человек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1.1.4.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1.1.4. Расширение сети учреждений по работе с молодежью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1.1.4.1.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отделений учреждения по работе с молодежью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Подпрограмма 2. "Патриотическое воспитание граждан и подготовка молодежи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</w:t>
                  </w:r>
                  <w:proofErr w:type="gram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Невьянском</w:t>
                  </w:r>
                  <w:proofErr w:type="gram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городском округе к военной службе" на 2015 - 2021 годы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2.2.1.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2.2.1.1.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Доля молодых граждан в возрасте от14 до 30 лет, участвующих в мероприятиях по патриотическому воспитанию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2.2.1.2.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Доля молодых граждан в возрасте от 14 до 30 лет, участвующих в деятельности патриотических молодежных объединений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2.2.2.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2.2.2.2.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2.2.2.3.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Доля граждан допризывного возраста (15-18 лет), проходящих подготовку в оборонно-спортивных лагерях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Подпрограмма 3.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3.3.1.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Задача 3.3.1.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      </w:r>
                  <w:proofErr w:type="spell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вНевьянском</w:t>
                  </w:r>
                  <w:proofErr w:type="spell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городском округе</w:t>
                  </w:r>
                  <w:proofErr w:type="gram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3.3.1.1.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спортивной</w:t>
                  </w:r>
                  <w:proofErr w:type="gram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3.3.2.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3.3.2. Стимулирование развития сети учреждений дополнительного образования в сфере физической культуры и спорта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3.3.2.2.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Доля подготовленных спортсменов-разрядников в общей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численности</w:t>
                  </w:r>
                  <w:proofErr w:type="gram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Подпрограмма 4.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484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Цель 4.4.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      </w:r>
                  <w:proofErr w:type="gram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4.4.1.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4.4.1. Привлечение населения Невьянского городского округа к здоровому образу жизни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4.4.1.1.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Доля жителей Невьянского городского округа систематически занимающегося физической культурой и спортом </w:t>
                  </w:r>
                  <w:proofErr w:type="gram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( </w:t>
                  </w:r>
                  <w:proofErr w:type="gram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процентах от общей численности населения НГО)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4.4.1.2.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Доля граждан, занимающихся в спортивных организаций, в общей численности детей и молодежи в возрасте 6-15 лет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4.4.1.3.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4.4.1.4.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4.4.1.5.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17,1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4.4.1.6.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      </w:r>
                  <w:proofErr w:type="spellStart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физкультурно</w:t>
                  </w:r>
                  <w:proofErr w:type="spellEnd"/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физкультурно-спортивного комплекса "Готов к труду и обороне" (ГТО)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4.4.1.7.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Доля граждан старшего поколения,</w:t>
                  </w: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  <w:t>занимающихся физической культурой и</w:t>
                  </w: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  <w:t>спортом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6,5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4.4.2.1.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спортивно-массовых и физкультурно-оздоровительных мероприятий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4.4.3.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Задача 4.4.3. Создание и развитие эффективной и доступной для различных групп населения инфраструктуры сферы физической культуры и </w:t>
                  </w: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спорта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4.4.3.2.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Единовременная пропускная способность объектов спорта, введенных в эксплуатацию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человек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4.4.4.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4.4.4.1.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35,68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35,68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  <w:tr w:rsidR="00D34F14" w:rsidRPr="00035097" w:rsidTr="00D34F14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4.4.4.2.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объектов спорта введенных в эксплуатацию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единица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F14" w:rsidRPr="00035097" w:rsidRDefault="00D34F14" w:rsidP="00D34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3509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      </w:r>
                </w:p>
              </w:tc>
            </w:tr>
          </w:tbl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4F14" w:rsidRPr="00A224DE" w:rsidTr="00D34F14">
        <w:trPr>
          <w:gridAfter w:val="1"/>
          <w:wAfter w:w="718" w:type="dxa"/>
          <w:trHeight w:val="1399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3" w:type="dxa"/>
            <w:gridSpan w:val="7"/>
            <w:vAlign w:val="bottom"/>
          </w:tcPr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Невьянского городского округа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509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35097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D34F14" w:rsidRPr="00A224DE" w:rsidTr="00D34F14">
        <w:trPr>
          <w:trHeight w:val="285"/>
        </w:trPr>
        <w:tc>
          <w:tcPr>
            <w:tcW w:w="15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D34F14" w:rsidRPr="00A224DE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D34F14" w:rsidRPr="00A224DE" w:rsidTr="00D34F14">
        <w:trPr>
          <w:trHeight w:val="510"/>
        </w:trPr>
        <w:tc>
          <w:tcPr>
            <w:tcW w:w="15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D34F14" w:rsidRPr="00157F81" w:rsidTr="00D34F1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D34F14" w:rsidRPr="00D34F14" w:rsidTr="00035097">
        <w:trPr>
          <w:gridAfter w:val="2"/>
          <w:wAfter w:w="863" w:type="dxa"/>
          <w:trHeight w:val="112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D34F14" w:rsidRPr="00D34F14" w:rsidTr="00035097">
        <w:trPr>
          <w:gridAfter w:val="2"/>
          <w:wAfter w:w="863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496 434,5</w:t>
            </w:r>
            <w:r w:rsidR="00EA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89 329,7</w:t>
            </w:r>
            <w:r w:rsidR="00EA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475 622,0</w:t>
            </w:r>
            <w:r w:rsidR="00E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88 668,3</w:t>
            </w:r>
            <w:r w:rsidR="00E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496 434,5</w:t>
            </w:r>
            <w:r w:rsidR="00EA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89 329,7</w:t>
            </w:r>
            <w:r w:rsidR="00EA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475 622,0</w:t>
            </w:r>
            <w:r w:rsidR="00E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EA01A1" w:rsidRDefault="00D34F14" w:rsidP="00EA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88 668,3</w:t>
            </w:r>
            <w:r w:rsidR="00E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33 905,69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6 201,42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32 570,20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5 846,53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33 905,69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6 201,42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32 570,20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5 846,53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3 756,84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3 108,24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3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2 348,24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401,78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2 348,24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1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1.1.6.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24 082,54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4 088,67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24 082,54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4 088,67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2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30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7 364,21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1 361,32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6 755,71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7 364,21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1 361,32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6 755,71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2 723,86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2 551,66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3 852,55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3 791,25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3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314 550,77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59 794,31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296 026,17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59 794,31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314 550,77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59 794,31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296 026,17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59 794,31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212 494,94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33 834,31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212 494,94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33 834,31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2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13 667,49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13 470,69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88 388,34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70 060,54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3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23 017,22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8 340,00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23 017,22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27 030,00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</w:t>
            </w:r>
            <w:r w:rsidR="00DD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</w:t>
            </w:r>
            <w:r w:rsidR="00DD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</w:t>
            </w:r>
            <w:r w:rsidR="00DD4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</w:t>
            </w:r>
            <w:r w:rsidR="00DD4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</w:t>
            </w:r>
            <w:r w:rsidR="00DD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</w:t>
            </w:r>
            <w:r w:rsidR="00DD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</w:t>
            </w:r>
            <w:r w:rsidR="00DD4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D4AA4" w:rsidRDefault="00D34F14" w:rsidP="00D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</w:t>
            </w:r>
            <w:r w:rsidR="00DD4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15 308,82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15 308,82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F27C4F" w:rsidRDefault="00D34F14" w:rsidP="00F27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91 188,</w:t>
            </w:r>
            <w:r w:rsidR="00F2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F27C4F" w:rsidRDefault="00D34F14" w:rsidP="00F27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15 186,1</w:t>
            </w:r>
            <w:r w:rsidR="00F2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F27C4F" w:rsidRDefault="00D34F14" w:rsidP="00F27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91 188,</w:t>
            </w:r>
            <w:r w:rsidR="00F27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F27C4F" w:rsidRDefault="00D34F14" w:rsidP="00F27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15 186,1</w:t>
            </w:r>
            <w:r w:rsidR="00F27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21 529,22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21 529,22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F14" w:rsidRPr="00D34F14" w:rsidTr="00035097">
        <w:trPr>
          <w:gridAfter w:val="2"/>
          <w:wAfter w:w="863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14" w:rsidRP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Default="008826DC"/>
    <w:sectPr w:rsidR="008826DC" w:rsidSect="007C4C97">
      <w:headerReference w:type="default" r:id="rId12"/>
      <w:headerReference w:type="first" r:id="rId13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6C" w:rsidRDefault="0047666C" w:rsidP="009C209C">
      <w:pPr>
        <w:spacing w:after="0" w:line="240" w:lineRule="auto"/>
      </w:pPr>
      <w:r>
        <w:separator/>
      </w:r>
    </w:p>
  </w:endnote>
  <w:endnote w:type="continuationSeparator" w:id="0">
    <w:p w:rsidR="0047666C" w:rsidRDefault="0047666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6C" w:rsidRDefault="0047666C" w:rsidP="009C209C">
      <w:pPr>
        <w:spacing w:after="0" w:line="240" w:lineRule="auto"/>
      </w:pPr>
      <w:r>
        <w:separator/>
      </w:r>
    </w:p>
  </w:footnote>
  <w:footnote w:type="continuationSeparator" w:id="0">
    <w:p w:rsidR="0047666C" w:rsidRDefault="0047666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59044"/>
      <w:docPartObj>
        <w:docPartGallery w:val="Page Numbers (Top of Page)"/>
        <w:docPartUnique/>
      </w:docPartObj>
    </w:sdtPr>
    <w:sdtEndPr/>
    <w:sdtContent>
      <w:p w:rsidR="00960433" w:rsidRDefault="00960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A1">
          <w:rPr>
            <w:noProof/>
          </w:rPr>
          <w:t>4</w:t>
        </w:r>
        <w:r>
          <w:fldChar w:fldCharType="end"/>
        </w:r>
      </w:p>
    </w:sdtContent>
  </w:sdt>
  <w:p w:rsidR="00960433" w:rsidRDefault="009604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33" w:rsidRDefault="00960433">
    <w:pPr>
      <w:pStyle w:val="a4"/>
      <w:jc w:val="center"/>
    </w:pPr>
  </w:p>
  <w:p w:rsidR="00960433" w:rsidRDefault="00960433">
    <w:pPr>
      <w:pStyle w:val="a4"/>
    </w:pPr>
  </w:p>
  <w:p w:rsidR="00960433" w:rsidRDefault="009604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960433" w:rsidRDefault="00960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4F">
          <w:rPr>
            <w:noProof/>
          </w:rPr>
          <w:t>29</w:t>
        </w:r>
        <w:r>
          <w:fldChar w:fldCharType="end"/>
        </w:r>
      </w:p>
    </w:sdtContent>
  </w:sdt>
  <w:p w:rsidR="00960433" w:rsidRPr="00055F77" w:rsidRDefault="00960433" w:rsidP="00055F77">
    <w:pPr>
      <w:pStyle w:val="a4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33" w:rsidRDefault="00960433">
    <w:pPr>
      <w:pStyle w:val="a4"/>
      <w:jc w:val="center"/>
    </w:pPr>
  </w:p>
  <w:p w:rsidR="00960433" w:rsidRDefault="00960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4321"/>
    <w:rsid w:val="00234590"/>
    <w:rsid w:val="002423E1"/>
    <w:rsid w:val="00242938"/>
    <w:rsid w:val="002433A7"/>
    <w:rsid w:val="0024530F"/>
    <w:rsid w:val="00253174"/>
    <w:rsid w:val="0025317E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300B22"/>
    <w:rsid w:val="003141B0"/>
    <w:rsid w:val="00320292"/>
    <w:rsid w:val="00323990"/>
    <w:rsid w:val="00341CD4"/>
    <w:rsid w:val="00345758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F2FD7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42F57"/>
    <w:rsid w:val="00B43A7B"/>
    <w:rsid w:val="00B52962"/>
    <w:rsid w:val="00B52EA3"/>
    <w:rsid w:val="00B56795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A7F07"/>
    <w:rsid w:val="00DC24AB"/>
    <w:rsid w:val="00DD4AA4"/>
    <w:rsid w:val="00DE4363"/>
    <w:rsid w:val="00DE69BD"/>
    <w:rsid w:val="00DF0E11"/>
    <w:rsid w:val="00DF71B0"/>
    <w:rsid w:val="00E20926"/>
    <w:rsid w:val="00E211B6"/>
    <w:rsid w:val="00E27FB5"/>
    <w:rsid w:val="00E303F1"/>
    <w:rsid w:val="00E37233"/>
    <w:rsid w:val="00E43499"/>
    <w:rsid w:val="00E43C66"/>
    <w:rsid w:val="00E54B83"/>
    <w:rsid w:val="00E555DC"/>
    <w:rsid w:val="00E5734B"/>
    <w:rsid w:val="00E64539"/>
    <w:rsid w:val="00E64921"/>
    <w:rsid w:val="00E67616"/>
    <w:rsid w:val="00E71700"/>
    <w:rsid w:val="00E74511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DCD1-BC02-460F-8769-EA1B1EC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30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71</cp:revision>
  <cp:lastPrinted>2019-06-26T09:45:00Z</cp:lastPrinted>
  <dcterms:created xsi:type="dcterms:W3CDTF">2018-11-12T09:39:00Z</dcterms:created>
  <dcterms:modified xsi:type="dcterms:W3CDTF">2019-06-27T03:41:00Z</dcterms:modified>
</cp:coreProperties>
</file>