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5E" w:rsidRPr="00424161" w:rsidRDefault="00F8155E" w:rsidP="00C44529">
      <w:pPr>
        <w:tabs>
          <w:tab w:val="left" w:pos="5103"/>
        </w:tabs>
        <w:spacing w:after="0" w:line="240" w:lineRule="auto"/>
        <w:jc w:val="center"/>
        <w:outlineLvl w:val="0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                         </w:t>
      </w:r>
      <w:r w:rsidR="00C44529">
        <w:rPr>
          <w:rFonts w:ascii="Liberation Serif" w:hAnsi="Liberation Serif"/>
        </w:rPr>
        <w:t xml:space="preserve">          </w:t>
      </w:r>
      <w:r w:rsidRPr="00424161">
        <w:rPr>
          <w:rFonts w:ascii="Liberation Serif" w:hAnsi="Liberation Serif"/>
        </w:rPr>
        <w:t>УТВЕРЖДЕНЫ</w:t>
      </w:r>
    </w:p>
    <w:p w:rsidR="00F8155E" w:rsidRPr="00424161" w:rsidRDefault="00F8155E" w:rsidP="00C44529">
      <w:pPr>
        <w:tabs>
          <w:tab w:val="left" w:pos="5103"/>
        </w:tabs>
        <w:spacing w:after="0" w:line="240" w:lineRule="auto"/>
        <w:ind w:left="5103"/>
        <w:outlineLvl w:val="0"/>
        <w:rPr>
          <w:rFonts w:ascii="Liberation Serif" w:hAnsi="Liberation Serif"/>
        </w:rPr>
      </w:pPr>
      <w:r w:rsidRPr="00424161">
        <w:rPr>
          <w:rFonts w:ascii="Liberation Serif" w:hAnsi="Liberation Serif"/>
        </w:rPr>
        <w:t xml:space="preserve">постановлением администрации Невьянского </w:t>
      </w:r>
      <w:r w:rsidR="007601A7" w:rsidRPr="007601A7">
        <w:rPr>
          <w:rFonts w:ascii="Liberation Serif" w:hAnsi="Liberation Serif"/>
        </w:rPr>
        <w:t xml:space="preserve">   </w:t>
      </w:r>
      <w:r w:rsidR="00C44529" w:rsidRPr="00C44529">
        <w:rPr>
          <w:rFonts w:ascii="Liberation Serif" w:hAnsi="Liberation Serif"/>
        </w:rPr>
        <w:t xml:space="preserve">  </w:t>
      </w:r>
      <w:r w:rsidRPr="00424161">
        <w:rPr>
          <w:rFonts w:ascii="Liberation Serif" w:hAnsi="Liberation Serif"/>
        </w:rPr>
        <w:t xml:space="preserve">городского округа </w:t>
      </w:r>
    </w:p>
    <w:p w:rsidR="00F8155E" w:rsidRPr="00424161" w:rsidRDefault="007601A7" w:rsidP="00C44529">
      <w:pPr>
        <w:tabs>
          <w:tab w:val="left" w:pos="4820"/>
          <w:tab w:val="left" w:pos="5103"/>
        </w:tabs>
        <w:spacing w:after="0" w:line="240" w:lineRule="auto"/>
        <w:ind w:left="4820"/>
        <w:outlineLvl w:val="0"/>
        <w:rPr>
          <w:rFonts w:ascii="Liberation Serif" w:hAnsi="Liberation Serif"/>
        </w:rPr>
      </w:pPr>
      <w:r w:rsidRPr="007601A7">
        <w:rPr>
          <w:rFonts w:ascii="Liberation Serif" w:hAnsi="Liberation Serif"/>
        </w:rPr>
        <w:t xml:space="preserve">     </w:t>
      </w:r>
      <w:r w:rsidR="00F8155E" w:rsidRPr="00424161">
        <w:rPr>
          <w:rFonts w:ascii="Liberation Serif" w:hAnsi="Liberation Serif"/>
        </w:rPr>
        <w:t>от  _____</w:t>
      </w:r>
      <w:r w:rsidRPr="007601A7">
        <w:rPr>
          <w:rFonts w:ascii="Liberation Serif" w:hAnsi="Liberation Serif"/>
        </w:rPr>
        <w:t>____</w:t>
      </w:r>
      <w:r w:rsidR="00F8155E" w:rsidRPr="00424161">
        <w:rPr>
          <w:rFonts w:ascii="Liberation Serif" w:hAnsi="Liberation Serif"/>
        </w:rPr>
        <w:t>_  № _____ - п</w:t>
      </w:r>
    </w:p>
    <w:p w:rsidR="00F8155E" w:rsidRPr="00424161" w:rsidRDefault="00F8155E" w:rsidP="00F8155E">
      <w:pPr>
        <w:spacing w:line="276" w:lineRule="auto"/>
        <w:rPr>
          <w:rFonts w:ascii="Liberation Serif" w:hAnsi="Liberation Serif"/>
          <w:b/>
        </w:rPr>
      </w:pPr>
    </w:p>
    <w:p w:rsidR="00F8155E" w:rsidRPr="00F8155E" w:rsidRDefault="00F8155E" w:rsidP="007601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8155E">
        <w:rPr>
          <w:rFonts w:ascii="Liberation Serif" w:hAnsi="Liberation Serif"/>
          <w:b/>
          <w:sz w:val="28"/>
          <w:szCs w:val="28"/>
        </w:rPr>
        <w:t>Основные направления муниципальной долговой политики</w:t>
      </w:r>
    </w:p>
    <w:p w:rsidR="00F8155E" w:rsidRPr="00F8155E" w:rsidRDefault="00F8155E" w:rsidP="007601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8155E">
        <w:rPr>
          <w:rFonts w:ascii="Liberation Serif" w:hAnsi="Liberation Serif"/>
          <w:b/>
          <w:sz w:val="28"/>
          <w:szCs w:val="28"/>
        </w:rPr>
        <w:t xml:space="preserve"> Невьянского городского округа на 2024 год </w:t>
      </w:r>
    </w:p>
    <w:p w:rsidR="00F8155E" w:rsidRPr="00F8155E" w:rsidRDefault="00F8155E" w:rsidP="007601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8155E">
        <w:rPr>
          <w:rFonts w:ascii="Liberation Serif" w:hAnsi="Liberation Serif"/>
          <w:b/>
          <w:sz w:val="28"/>
          <w:szCs w:val="28"/>
        </w:rPr>
        <w:t>и плановый период 2025 и 2026</w:t>
      </w:r>
      <w:r>
        <w:rPr>
          <w:rFonts w:ascii="Liberation Serif" w:hAnsi="Liberation Serif"/>
          <w:b/>
          <w:sz w:val="28"/>
          <w:szCs w:val="28"/>
        </w:rPr>
        <w:t xml:space="preserve"> годов </w:t>
      </w:r>
    </w:p>
    <w:p w:rsidR="007601A7" w:rsidRPr="00C44529" w:rsidRDefault="007601A7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1. Общие положения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7601A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Основные направления муниципальной долговой политики Невьянского городского округа (далее - долговая политика) </w:t>
      </w:r>
      <w:r w:rsidRPr="00F8155E">
        <w:rPr>
          <w:rFonts w:ascii="Liberation Serif" w:hAnsi="Liberation Serif"/>
          <w:sz w:val="28"/>
          <w:szCs w:val="28"/>
        </w:rPr>
        <w:t>разработаны в целях реализации ответственной долговой политики и повышения ее эффективности</w:t>
      </w:r>
      <w:r w:rsidR="00F20699">
        <w:rPr>
          <w:rFonts w:ascii="Liberation Serif" w:hAnsi="Liberation Serif"/>
          <w:sz w:val="28"/>
          <w:szCs w:val="28"/>
        </w:rPr>
        <w:t>,</w:t>
      </w:r>
      <w:r w:rsidRPr="00F8155E">
        <w:rPr>
          <w:rFonts w:ascii="Liberation Serif" w:hAnsi="Liberation Serif"/>
          <w:sz w:val="28"/>
          <w:szCs w:val="28"/>
        </w:rPr>
        <w:t xml:space="preserve"> являются частью бюджетной политики, непосредственно связаны с бюджетным процессом в </w:t>
      </w:r>
      <w:r w:rsidRPr="00F8155E">
        <w:rPr>
          <w:rFonts w:ascii="Liberation Serif" w:hAnsi="Liberation Serif" w:cs="Times New Roman"/>
          <w:sz w:val="28"/>
          <w:szCs w:val="28"/>
        </w:rPr>
        <w:t xml:space="preserve">Невьянском городском округе </w:t>
      </w:r>
      <w:r w:rsidRPr="00F8155E">
        <w:rPr>
          <w:rFonts w:ascii="Liberation Serif" w:hAnsi="Liberation Serif"/>
          <w:sz w:val="28"/>
          <w:szCs w:val="28"/>
        </w:rPr>
        <w:t>и способствуют решению задач, стоящих перед Н</w:t>
      </w:r>
      <w:r w:rsidRPr="00F8155E">
        <w:rPr>
          <w:rFonts w:ascii="Liberation Serif" w:hAnsi="Liberation Serif" w:cs="Times New Roman"/>
          <w:sz w:val="28"/>
          <w:szCs w:val="28"/>
        </w:rPr>
        <w:t>евьянским городским округом</w:t>
      </w:r>
      <w:r w:rsidRPr="00F8155E">
        <w:rPr>
          <w:rFonts w:ascii="Liberation Serif" w:hAnsi="Liberation Serif"/>
          <w:sz w:val="28"/>
          <w:szCs w:val="28"/>
        </w:rPr>
        <w:t xml:space="preserve">. Долговая политика определяет основные задачи и приоритеты деятельности </w:t>
      </w:r>
      <w:r w:rsidRPr="00F8155E">
        <w:rPr>
          <w:rFonts w:ascii="Liberation Serif" w:hAnsi="Liberation Serif" w:cs="Times New Roman"/>
          <w:sz w:val="28"/>
          <w:szCs w:val="28"/>
        </w:rPr>
        <w:t xml:space="preserve">администрации Невьянского городского округа </w:t>
      </w:r>
      <w:r w:rsidRPr="00F8155E">
        <w:rPr>
          <w:rFonts w:ascii="Liberation Serif" w:hAnsi="Liberation Serif"/>
          <w:sz w:val="28"/>
          <w:szCs w:val="28"/>
        </w:rPr>
        <w:t xml:space="preserve">в сфере управления </w:t>
      </w:r>
      <w:r w:rsidRPr="00F8155E">
        <w:rPr>
          <w:rFonts w:ascii="Liberation Serif" w:hAnsi="Liberation Serif" w:cs="Times New Roman"/>
          <w:sz w:val="28"/>
          <w:szCs w:val="28"/>
        </w:rPr>
        <w:t>муниципальным долгом Невьянского городского округа (далее - муниципальный долг).</w:t>
      </w:r>
    </w:p>
    <w:p w:rsidR="00F8155E" w:rsidRPr="00F8155E" w:rsidRDefault="00F8155E" w:rsidP="007601A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Долговая политика заключается в реализации комплекса мер, направленных на обеспечение потребностей Невьянского городского округа </w:t>
      </w:r>
      <w:r w:rsidRPr="00F8155E">
        <w:rPr>
          <w:rFonts w:ascii="Liberation Serif" w:hAnsi="Liberation Serif" w:cs="Times New Roman"/>
          <w:sz w:val="28"/>
          <w:szCs w:val="28"/>
        </w:rPr>
        <w:br/>
        <w:t xml:space="preserve">в заемном финансировании (далее - заимствования), своевременное и полное исполнение обязательств по погашению и обслуживанию муниципального  долга, минимизацию расходов на обслуживание муниципального долга, поддержание объема и структуры долговых обязательств Невьянского городского округа (далее - долговые обязательства), исключающих </w:t>
      </w:r>
      <w:r w:rsidRPr="00F8155E">
        <w:rPr>
          <w:rFonts w:ascii="Liberation Serif" w:hAnsi="Liberation Serif"/>
          <w:sz w:val="28"/>
          <w:szCs w:val="28"/>
        </w:rPr>
        <w:t>вероятность неисполнения долговых обязательств, минимизацию рисков невыполнения запланированных результатов вследствие влияния внутренних и внешних факторов.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2. Итоги реализации долговой политики</w:t>
      </w:r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2020 - 2023 годов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Привлечение заемных средств в бюджет Невьянского городского округа (далее – местный бюджет) осуществляется для погашения долговых обязательств и покрытия кассового разрыва местного бюджета в целях обеспечения его сбалансированности.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Привлечение заимствований обеспечивает возможность направления доходов местного бюджета на финансирование расходов бюджета в социальной сфере, развитие социальной инфраструктуры Невьянского городского округа </w:t>
      </w:r>
      <w:r w:rsidRPr="00F8155E">
        <w:rPr>
          <w:rFonts w:ascii="Liberation Serif" w:hAnsi="Liberation Serif" w:cs="Times New Roman"/>
          <w:sz w:val="28"/>
          <w:szCs w:val="28"/>
        </w:rPr>
        <w:br/>
        <w:t>и  проведение мероприятий, направленных на социально-экономическое развитие Невьянского городского округа.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Основным источником покрытия кассового разрыва местного бюджета стали привлеченные кредиты из бюджета Свердловской области (далее – </w:t>
      </w:r>
      <w:r w:rsidRPr="00F8155E">
        <w:rPr>
          <w:rFonts w:ascii="Liberation Serif" w:hAnsi="Liberation Serif" w:cs="Times New Roman"/>
          <w:sz w:val="28"/>
          <w:szCs w:val="28"/>
        </w:rPr>
        <w:lastRenderedPageBreak/>
        <w:t>областной бюджет).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За 2020 - 2023 годы муниципальный долг уменьшился на 9,92 млн. рублей и на 1 января 2024 года составил 1,91 млн. рублей.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Информация об основных показателях состояния муниципального долга за 2020 - 2023 годы приведена в </w:t>
      </w:r>
      <w:hyperlink w:anchor="P56" w:history="1">
        <w:r w:rsidRPr="00F8155E">
          <w:rPr>
            <w:rFonts w:ascii="Liberation Serif" w:hAnsi="Liberation Serif" w:cs="Times New Roman"/>
            <w:sz w:val="28"/>
            <w:szCs w:val="28"/>
          </w:rPr>
          <w:t>таблицах 1</w:t>
        </w:r>
      </w:hyperlink>
      <w:r w:rsidRPr="00F8155E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98" w:history="1">
        <w:r w:rsidRPr="00F8155E">
          <w:rPr>
            <w:rFonts w:ascii="Liberation Serif" w:hAnsi="Liberation Serif" w:cs="Times New Roman"/>
            <w:sz w:val="28"/>
            <w:szCs w:val="28"/>
          </w:rPr>
          <w:t>2</w:t>
        </w:r>
      </w:hyperlink>
      <w:r w:rsidRPr="00F8155E">
        <w:rPr>
          <w:rFonts w:ascii="Liberation Serif" w:hAnsi="Liberation Serif" w:cs="Times New Roman"/>
          <w:sz w:val="28"/>
          <w:szCs w:val="28"/>
        </w:rPr>
        <w:t>.</w:t>
      </w:r>
    </w:p>
    <w:p w:rsidR="00F8155E" w:rsidRPr="00C44529" w:rsidRDefault="00F8155E" w:rsidP="007601A7">
      <w:pPr>
        <w:pStyle w:val="ConsPlusNormal"/>
        <w:ind w:firstLine="567"/>
        <w:jc w:val="right"/>
        <w:outlineLvl w:val="2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Таблица 1</w:t>
      </w:r>
      <w:bookmarkStart w:id="1" w:name="P56"/>
      <w:bookmarkEnd w:id="1"/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Объем и структура муниципального долга Невьянского городского округа</w:t>
      </w:r>
    </w:p>
    <w:p w:rsidR="00F8155E" w:rsidRPr="00F8155E" w:rsidRDefault="00F8155E" w:rsidP="00F8155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(млн.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725"/>
        <w:gridCol w:w="1417"/>
        <w:gridCol w:w="1418"/>
        <w:gridCol w:w="1701"/>
        <w:gridCol w:w="1417"/>
      </w:tblGrid>
      <w:tr w:rsidR="00F8155E" w:rsidRPr="00F8155E" w:rsidTr="007601A7">
        <w:tc>
          <w:tcPr>
            <w:tcW w:w="106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725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1701" w:type="dxa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2023 год</w:t>
            </w:r>
          </w:p>
        </w:tc>
      </w:tr>
      <w:tr w:rsidR="00F8155E" w:rsidRPr="00F8155E" w:rsidTr="007601A7">
        <w:tc>
          <w:tcPr>
            <w:tcW w:w="106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7,76</w:t>
            </w:r>
          </w:p>
        </w:tc>
        <w:tc>
          <w:tcPr>
            <w:tcW w:w="1418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5,34</w:t>
            </w:r>
          </w:p>
        </w:tc>
        <w:tc>
          <w:tcPr>
            <w:tcW w:w="1701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3,62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1,91</w:t>
            </w:r>
          </w:p>
        </w:tc>
      </w:tr>
      <w:tr w:rsidR="00F8155E" w:rsidRPr="00F8155E" w:rsidTr="007601A7">
        <w:tc>
          <w:tcPr>
            <w:tcW w:w="106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7,76</w:t>
            </w:r>
          </w:p>
        </w:tc>
        <w:tc>
          <w:tcPr>
            <w:tcW w:w="1418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5,34</w:t>
            </w:r>
          </w:p>
        </w:tc>
        <w:tc>
          <w:tcPr>
            <w:tcW w:w="1701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3,62</w:t>
            </w:r>
          </w:p>
        </w:tc>
        <w:tc>
          <w:tcPr>
            <w:tcW w:w="1417" w:type="dxa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1,91</w:t>
            </w:r>
          </w:p>
        </w:tc>
      </w:tr>
    </w:tbl>
    <w:p w:rsidR="00F8155E" w:rsidRPr="00F8155E" w:rsidRDefault="00F8155E" w:rsidP="00F8155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8155E" w:rsidRPr="007601A7" w:rsidRDefault="00F8155E" w:rsidP="007601A7">
      <w:pPr>
        <w:pStyle w:val="ConsPlusNormal"/>
        <w:jc w:val="right"/>
        <w:outlineLvl w:val="2"/>
        <w:rPr>
          <w:rFonts w:ascii="Liberation Serif" w:hAnsi="Liberation Serif" w:cs="Times New Roman"/>
          <w:sz w:val="28"/>
          <w:szCs w:val="28"/>
          <w:lang w:val="en-US"/>
        </w:rPr>
      </w:pPr>
      <w:r w:rsidRPr="00F8155E">
        <w:rPr>
          <w:rFonts w:ascii="Liberation Serif" w:hAnsi="Liberation Serif" w:cs="Times New Roman"/>
          <w:sz w:val="28"/>
          <w:szCs w:val="28"/>
        </w:rPr>
        <w:t>Таблица 2</w:t>
      </w:r>
      <w:bookmarkStart w:id="2" w:name="P98"/>
      <w:bookmarkEnd w:id="2"/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Динамика муниципального  долга Невьянского городского округа</w:t>
      </w:r>
    </w:p>
    <w:p w:rsidR="00F8155E" w:rsidRPr="00F8155E" w:rsidRDefault="00F8155E" w:rsidP="00F8155E">
      <w:pPr>
        <w:pStyle w:val="ConsPlusTitle"/>
        <w:jc w:val="both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3649"/>
        <w:gridCol w:w="1269"/>
        <w:gridCol w:w="1408"/>
        <w:gridCol w:w="1268"/>
        <w:gridCol w:w="1124"/>
      </w:tblGrid>
      <w:tr w:rsidR="00F8155E" w:rsidRPr="00F8155E" w:rsidTr="007601A7">
        <w:tc>
          <w:tcPr>
            <w:tcW w:w="102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64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269" w:type="dxa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2020 год</w:t>
            </w:r>
          </w:p>
        </w:tc>
        <w:tc>
          <w:tcPr>
            <w:tcW w:w="1408" w:type="dxa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2021 год</w:t>
            </w:r>
          </w:p>
        </w:tc>
        <w:tc>
          <w:tcPr>
            <w:tcW w:w="1268" w:type="dxa"/>
            <w:shd w:val="clear" w:color="auto" w:fill="auto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2022 год</w:t>
            </w:r>
          </w:p>
        </w:tc>
        <w:tc>
          <w:tcPr>
            <w:tcW w:w="1124" w:type="dxa"/>
            <w:shd w:val="clear" w:color="auto" w:fill="auto"/>
          </w:tcPr>
          <w:p w:rsidR="00F8155E" w:rsidRPr="00F8155E" w:rsidRDefault="00F8155E" w:rsidP="00B43D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55E">
              <w:rPr>
                <w:rFonts w:ascii="Liberation Serif" w:hAnsi="Liberation Serif"/>
                <w:sz w:val="28"/>
                <w:szCs w:val="28"/>
              </w:rPr>
              <w:t>2023 год</w:t>
            </w:r>
          </w:p>
        </w:tc>
      </w:tr>
      <w:tr w:rsidR="00F8155E" w:rsidRPr="00F8155E" w:rsidTr="007601A7">
        <w:tc>
          <w:tcPr>
            <w:tcW w:w="102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3649" w:type="dxa"/>
            <w:shd w:val="clear" w:color="auto" w:fill="auto"/>
          </w:tcPr>
          <w:p w:rsidR="00F8155E" w:rsidRPr="00F8155E" w:rsidRDefault="00F8155E" w:rsidP="007601A7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Объем муниципального  долга (млн. рублей)</w:t>
            </w:r>
          </w:p>
        </w:tc>
        <w:tc>
          <w:tcPr>
            <w:tcW w:w="1269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7,76</w:t>
            </w:r>
          </w:p>
        </w:tc>
        <w:tc>
          <w:tcPr>
            <w:tcW w:w="1408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5,34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3,62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1,91</w:t>
            </w:r>
          </w:p>
        </w:tc>
      </w:tr>
      <w:tr w:rsidR="00F8155E" w:rsidRPr="00F8155E" w:rsidTr="007601A7">
        <w:tc>
          <w:tcPr>
            <w:tcW w:w="102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3649" w:type="dxa"/>
            <w:shd w:val="clear" w:color="auto" w:fill="auto"/>
          </w:tcPr>
          <w:p w:rsidR="00F8155E" w:rsidRPr="00F8155E" w:rsidRDefault="00F8155E" w:rsidP="007601A7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Прирост муниципального  долга (млн. рублей)</w:t>
            </w:r>
          </w:p>
        </w:tc>
        <w:tc>
          <w:tcPr>
            <w:tcW w:w="1269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- 4,07</w:t>
            </w:r>
          </w:p>
        </w:tc>
        <w:tc>
          <w:tcPr>
            <w:tcW w:w="1408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- 2,42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- 1,72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- 1,71</w:t>
            </w:r>
          </w:p>
        </w:tc>
      </w:tr>
      <w:tr w:rsidR="00F8155E" w:rsidRPr="00F8155E" w:rsidTr="007601A7">
        <w:tc>
          <w:tcPr>
            <w:tcW w:w="102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3649" w:type="dxa"/>
            <w:shd w:val="clear" w:color="auto" w:fill="auto"/>
          </w:tcPr>
          <w:p w:rsidR="00F8155E" w:rsidRPr="00F8155E" w:rsidRDefault="00F8155E" w:rsidP="007601A7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Темпы роста муниципального долга (процентов)</w:t>
            </w:r>
          </w:p>
        </w:tc>
        <w:tc>
          <w:tcPr>
            <w:tcW w:w="1269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65,59</w:t>
            </w:r>
          </w:p>
        </w:tc>
        <w:tc>
          <w:tcPr>
            <w:tcW w:w="1408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68,81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67,79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52,76</w:t>
            </w:r>
          </w:p>
        </w:tc>
      </w:tr>
      <w:tr w:rsidR="00F8155E" w:rsidRPr="00F8155E" w:rsidTr="007601A7">
        <w:tc>
          <w:tcPr>
            <w:tcW w:w="1029" w:type="dxa"/>
            <w:shd w:val="clear" w:color="auto" w:fill="auto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3649" w:type="dxa"/>
            <w:shd w:val="clear" w:color="auto" w:fill="auto"/>
          </w:tcPr>
          <w:p w:rsidR="00F8155E" w:rsidRPr="00F8155E" w:rsidRDefault="00F8155E" w:rsidP="007601A7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Долговая нагрузка (отношение объема муниципального  долга к объему доходов местного бюджета без учета безвозмездных поступлений и поступлений по дополнительным нормативам отчислений от НДФЛ)  (процентов)</w:t>
            </w:r>
          </w:p>
        </w:tc>
        <w:tc>
          <w:tcPr>
            <w:tcW w:w="1269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2,84</w:t>
            </w:r>
          </w:p>
        </w:tc>
        <w:tc>
          <w:tcPr>
            <w:tcW w:w="1408" w:type="dxa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1,56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0,93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8155E" w:rsidRPr="00F8155E" w:rsidRDefault="00F8155E" w:rsidP="00B43D20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8155E">
              <w:rPr>
                <w:rFonts w:ascii="Liberation Serif" w:hAnsi="Liberation Serif" w:cs="Times New Roman"/>
                <w:sz w:val="28"/>
                <w:szCs w:val="28"/>
              </w:rPr>
              <w:t>0,51</w:t>
            </w:r>
          </w:p>
        </w:tc>
      </w:tr>
    </w:tbl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Объем кредитов, привлекаемых в местный бюджет из областного бюджета, за период  2020 – 2023 годы  составил 0,0 млн. рублей.    </w:t>
      </w:r>
    </w:p>
    <w:p w:rsidR="00F8155E" w:rsidRPr="00F8155E" w:rsidRDefault="00F8155E" w:rsidP="007601A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В бюджет Невьянского городского округа за период с 2020 по 2023 годы кредиты от кредитных организаций не привлекались. </w:t>
      </w:r>
    </w:p>
    <w:p w:rsidR="00F8155E" w:rsidRPr="00F8155E" w:rsidRDefault="00F8155E" w:rsidP="007601A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Долговая нагрузка сохранена на уровне ниже 50% от суммы доходов местного бюджета без учета безвозмездных поступлений и поступлений </w:t>
      </w:r>
      <w:r w:rsidRPr="00F8155E">
        <w:rPr>
          <w:rFonts w:ascii="Liberation Serif" w:hAnsi="Liberation Serif"/>
          <w:sz w:val="28"/>
          <w:szCs w:val="28"/>
        </w:rPr>
        <w:lastRenderedPageBreak/>
        <w:t>налоговых доходов по дополнительным нормативам отчислений от налога на доходы физических лиц   (2020 год – 2,84 %, в 2021 году - 1,56  %, в 2022 году -  0,93 % и в 2023 году – 0,51%).</w:t>
      </w:r>
    </w:p>
    <w:p w:rsidR="00F8155E" w:rsidRPr="00F8155E" w:rsidRDefault="00F8155E" w:rsidP="007601A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В целях уменьшения стоимости заимствований и сокращения расходов местного бюджета на обслуживание муниципального  долга в 2019 - 2021 годах проведена реструктуризация муниципального долга в сумме 4,5 млн. рублей. За счет этого  в 2021 году экономия бюджетных средств на обслуживание муниципального  долга составила 0,01 млн. рублей.</w:t>
      </w:r>
    </w:p>
    <w:p w:rsidR="00F8155E" w:rsidRPr="00F8155E" w:rsidRDefault="00F8155E" w:rsidP="007601A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Расходы на обслуживание муниципального долга составили в 2020 году составили 0,01 млн. рублей, в 2021 году – 0,006 млн. рублей, в 2022 году – 0,004 млн. рублей и в 2023 году – 0,002 млн. рублей.</w:t>
      </w:r>
    </w:p>
    <w:p w:rsidR="00F8155E" w:rsidRPr="00F8155E" w:rsidRDefault="00F8155E" w:rsidP="007601A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Все долговые обязательства исполнены своевременно и в полном объеме.</w:t>
      </w:r>
    </w:p>
    <w:p w:rsidR="00F8155E" w:rsidRPr="00F8155E" w:rsidRDefault="00F8155E" w:rsidP="007601A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Проводимая долговая политика позволяет поддерживать на стабильном уровне расходы на обслуживание муниципального долга в общей сумме расходов местного  бюджета, за исключением объема расходов, которые осуществляются за счет субвенций (в 2020 году – 0,001%, в 2021 году -   0,001%, в 2022 году – 0,0003 % и в 2023 году -  0,0001 %).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3. Основные факторы, определяющие характер</w:t>
      </w:r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и направления долговой политики</w:t>
      </w:r>
    </w:p>
    <w:p w:rsidR="00F8155E" w:rsidRPr="00F8155E" w:rsidRDefault="00F8155E" w:rsidP="00F8155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Долговая политика в 2024 - 2026 годах будет направлена на безусловное выполнение обязательств Невьянского городского округа, соблюдение норм </w:t>
      </w:r>
      <w:r w:rsidRPr="00F8155E">
        <w:rPr>
          <w:rFonts w:ascii="Liberation Serif" w:hAnsi="Liberation Serif" w:cs="Times New Roman"/>
          <w:sz w:val="28"/>
          <w:szCs w:val="28"/>
        </w:rPr>
        <w:br/>
        <w:t>и ограничений, установленных бюджетным законодательством Российской Федерации, и нацелена на поддержание долговой нагрузки на местный бюджет на уровне, относящем Невьянский городской округ  к муниципальным образованиям  с высокой долговой устойчивостью.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Основными факторами, определяющими характер и направления долговой политики в 2024 году и плановом периоде 2025 и 2026 годов, являются: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1) необходимость обеспечения условий, способствующих поддержанию социально-экономической стабильности и благополучия на фоне международной напряженности, а также поддержанию принятых мер, направленных на нивелирование негативного воздействия введенных в отношении Российской Федерации санкций;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2) необходимость выполнения условий соглашений с Министерством финансов Свердловской области о реструктуризации бюджетных кредитов, предоставленных из областного бюджета;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3) необходимость финансового обеспечения расходных обязательств Невьянского городского округа, принимаемых с учетом реализации </w:t>
      </w:r>
      <w:hyperlink r:id="rId7" w:history="1">
        <w:r w:rsidRPr="00F8155E">
          <w:rPr>
            <w:rFonts w:ascii="Liberation Serif" w:hAnsi="Liberation Serif"/>
            <w:sz w:val="28"/>
            <w:szCs w:val="28"/>
          </w:rPr>
          <w:t>Указа</w:t>
        </w:r>
      </w:hyperlink>
      <w:r w:rsidRPr="00F8155E">
        <w:rPr>
          <w:rFonts w:ascii="Liberation Serif" w:hAnsi="Liberation Serif"/>
          <w:sz w:val="28"/>
          <w:szCs w:val="28"/>
        </w:rPr>
        <w:t xml:space="preserve"> Президента Российской Федерации от 21 июля 2020 года № 474                        «О национальных целях развития Российской Федерации на период до </w:t>
      </w:r>
      <w:r w:rsidRPr="00F8155E">
        <w:rPr>
          <w:rFonts w:ascii="Liberation Serif" w:hAnsi="Liberation Serif"/>
          <w:sz w:val="28"/>
          <w:szCs w:val="28"/>
        </w:rPr>
        <w:br/>
        <w:t>2030 года» и стратегических задач социально-экономического развития Невьянского городского округа.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lastRenderedPageBreak/>
        <w:t>Реализация долговой политики будет осуществляться в условиях продолжающейся трансформации национальной социально-экономической системы, перестройки внутренних и внешних экономических связей, санкционных ограничений, что и определяет ее направление на обеспечение устойчивости бюджетной системы Невьянского городского округа.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Долговая политика будет направлена на эффективное управление муниципальным долгом, полностью исключающее риски превышения либо критического приближения уровня накапливаемых долговых обязательств и вытекающих из них расходных обязательств к предельным значениям, установленным бюджетным законодательством Российской Федерации и заключенными соглашениями с Министерством финансов Свердловской области. Безусловным приоритетом проводимой долговой политики будет являться обеспечение полного и своевременного исполнения принятых долговых обязательств и вытекающих из них расходных обязательств.</w:t>
      </w:r>
    </w:p>
    <w:p w:rsidR="00F8155E" w:rsidRPr="00F8155E" w:rsidRDefault="00F8155E" w:rsidP="00F8155E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4. Цели и задачи долговой политики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В 2024 - 2026 годах главной целью долговой политики будет являться обеспечение и поддержание долгосрочной стабильности и устойчивости бюджетной системы Невьянского городского округа в новых макроэкономических и геополитических условиях через эффективное управление муниципальным  долгом.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Основным источником заемных средств, привлекаемых в целях финансирования дефицита местного  бюджета, по-прежнему рассматриваются исключительно бюджетные кредиты из областного бюджета.  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Привлечение средств областного бюджета будет осуществляться исключительно для поддержания ликвидности местного бюджета в случае возникновения временного кассового разрыва при исполнении местного  бюджета в течение финансового года.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Целями долговой политики являются: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1) поддержание высокого качества бюджетного планирования в части муниципальных заимствований, реализация сдержанной долговой политики;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2) сохранение финансовой устойчивости и сбалансированности местного бюджета, осуществление заимствований в объемах, необходимых для решения поставленных социально-экономических задач;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3) сохранение объема муниципального долга на безопасном уровне </w:t>
      </w:r>
      <w:r w:rsidRPr="00F8155E">
        <w:rPr>
          <w:rFonts w:ascii="Liberation Serif" w:hAnsi="Liberation Serif" w:cs="Times New Roman"/>
          <w:sz w:val="28"/>
          <w:szCs w:val="28"/>
        </w:rPr>
        <w:br/>
        <w:t xml:space="preserve">и обеспечение доли общего объема долговых обязательств не более 50% доходов местного бюджета без учета безвозмездных поступлений </w:t>
      </w:r>
      <w:r w:rsidRPr="00F8155E">
        <w:rPr>
          <w:rFonts w:ascii="Liberation Serif" w:hAnsi="Liberation Serif" w:cs="Times New Roman"/>
          <w:sz w:val="28"/>
          <w:szCs w:val="28"/>
        </w:rPr>
        <w:br/>
        <w:t>и поступлений налоговых доходов по дополнительным нормативам отчислений от налога на доходы физических лиц;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4) равномерное распределение долговой нагрузки по годам;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5) обеспечение в 2024 - 2026 годах дефицита местного  бюджета на уровне не более 10% от суммы доходов местного бюджета без учета безвозмездных поступлений и поступлений налоговых доходов по дополнительным </w:t>
      </w:r>
      <w:r w:rsidRPr="00F8155E">
        <w:rPr>
          <w:rFonts w:ascii="Liberation Serif" w:hAnsi="Liberation Serif" w:cs="Times New Roman"/>
          <w:sz w:val="28"/>
          <w:szCs w:val="28"/>
        </w:rPr>
        <w:lastRenderedPageBreak/>
        <w:t xml:space="preserve">нормативам отчислений от налога на доходы физических лиц за соответствующий финансовый год. Утвержденный решением Думы Невьянского городского округа о бюджете  на очередной финансовый год </w:t>
      </w:r>
      <w:r w:rsidRPr="00F8155E">
        <w:rPr>
          <w:rFonts w:ascii="Liberation Serif" w:hAnsi="Liberation Serif" w:cs="Times New Roman"/>
          <w:sz w:val="28"/>
          <w:szCs w:val="28"/>
        </w:rPr>
        <w:br/>
        <w:t>и плановый период и сложившийся по данным годового отчета об исполнении местного  бюджета в 2024 - 2026 годах дефицит местного бюджета может превысить установленный показатель на сумму снижения остатков средств на счетах по учету средств местного бюджета;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6) минимизация стоимости обслуживания муниципального долга;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7) безусловное выполнение долговых обязательств;</w:t>
      </w:r>
    </w:p>
    <w:p w:rsidR="00F8155E" w:rsidRPr="00F8155E" w:rsidRDefault="00F8155E" w:rsidP="00F8155E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8) соблюдение   ограничений,  установленных  Бюджетным  </w:t>
      </w:r>
      <w:hyperlink r:id="rId8" w:history="1">
        <w:r w:rsidRPr="00F8155E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F8155E">
        <w:rPr>
          <w:rFonts w:ascii="Liberation Serif" w:hAnsi="Liberation Serif" w:cs="Times New Roman"/>
          <w:sz w:val="28"/>
          <w:szCs w:val="28"/>
        </w:rPr>
        <w:t xml:space="preserve"> Российской Федерации.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Для достижения поставленной цели потребуется решение следующих задач: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1)  поддержание умеренной долговой нагрузки на местный бюджет;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2) оптимизация структуры муниципального долга по видам и срокам заимствований  в целях сокращения расходов на его обслуживание;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3) равномерное распределение платежей по долговым обязательствам по годам;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4) обеспечение всеобщей доступности информации о муниципальном  долге;</w:t>
      </w:r>
    </w:p>
    <w:p w:rsidR="00F8155E" w:rsidRPr="00F8155E" w:rsidRDefault="00F8155E" w:rsidP="00F8155E">
      <w:pPr>
        <w:pStyle w:val="ConsPlusNormal"/>
        <w:tabs>
          <w:tab w:val="left" w:pos="851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5) </w:t>
      </w:r>
      <w:r w:rsidRPr="00F8155E">
        <w:rPr>
          <w:rFonts w:ascii="Liberation Serif" w:hAnsi="Liberation Serif"/>
          <w:sz w:val="28"/>
          <w:szCs w:val="28"/>
        </w:rPr>
        <w:t>обеспечение  высокого  уровня  долговой  устойчивости местного  бюджета.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5. Инструменты реализации долговой политики</w:t>
      </w:r>
    </w:p>
    <w:p w:rsidR="00F8155E" w:rsidRPr="00F8155E" w:rsidRDefault="00F8155E" w:rsidP="00F8155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Основными инструментами реализации долговой политики будут являются: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1) привлечение бюджетных кредитов (бюджетные кредиты на пополнение остатков средств на счете местного  бюджета, бюджетные кредиты на финансирование дефицита бюджета);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2) привлечение кредитов от кредитных организаций</w:t>
      </w:r>
      <w:r w:rsidRPr="00F8155E">
        <w:rPr>
          <w:rFonts w:ascii="Liberation Serif" w:hAnsi="Liberation Serif"/>
          <w:sz w:val="28"/>
          <w:szCs w:val="28"/>
        </w:rPr>
        <w:t xml:space="preserve"> с учетом ограничений, устанавливаемых Правительством Российской Федерации.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Использование данных инструментов в проводимой долговой политике будет осуществляться исходя из следующих принципов: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1) принятие решения о привлечении новых заимствований исходя из фактического исполнения местного бюджета, потребности в данном привлечении и ситуации на финансовом рынке, а также с учетом ограничений, установленных бюджетным законодательством Российской Федерации </w:t>
      </w:r>
      <w:r w:rsidRPr="00F8155E">
        <w:rPr>
          <w:rFonts w:ascii="Liberation Serif" w:hAnsi="Liberation Serif"/>
          <w:sz w:val="28"/>
          <w:szCs w:val="28"/>
        </w:rPr>
        <w:br/>
        <w:t>и заключенными соглашениями;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2) абсолютный приоритет бюджетных кредитов как инструмента пополнения остатка средств на едином счете местного бюджета. финансирования дефицита местного бюджета над другими видами заимствований;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 xml:space="preserve">3) проведение работы по реструктуризации  ранее привлеченных </w:t>
      </w:r>
      <w:r w:rsidRPr="00F8155E">
        <w:rPr>
          <w:rFonts w:ascii="Liberation Serif" w:hAnsi="Liberation Serif" w:cs="Times New Roman"/>
          <w:sz w:val="28"/>
          <w:szCs w:val="28"/>
        </w:rPr>
        <w:lastRenderedPageBreak/>
        <w:t>бюджетных кредитов;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4) обеспечение своевременного и полного учета долговых обязательств.</w:t>
      </w:r>
    </w:p>
    <w:p w:rsidR="00F8155E" w:rsidRPr="00F8155E" w:rsidRDefault="00F8155E" w:rsidP="00F8155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6. Анализ рисков для местного бюджета,</w:t>
      </w:r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возникающих в процессе управления государственным долгом</w:t>
      </w:r>
    </w:p>
    <w:p w:rsidR="00F8155E" w:rsidRPr="00F8155E" w:rsidRDefault="00F8155E" w:rsidP="00F8155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К основным рискам, возникающим в процессе управления муниципальным  долгом, влияющим на эффективность проводимой долговой политики </w:t>
      </w:r>
      <w:r w:rsidRPr="00F8155E">
        <w:rPr>
          <w:rFonts w:ascii="Liberation Serif" w:hAnsi="Liberation Serif"/>
          <w:sz w:val="28"/>
          <w:szCs w:val="28"/>
        </w:rPr>
        <w:br/>
        <w:t>и бюджетную устойчивость, относятся:</w:t>
      </w:r>
    </w:p>
    <w:p w:rsidR="00F8155E" w:rsidRPr="00F8155E" w:rsidRDefault="00F8155E" w:rsidP="00F8155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ухудшение</w:t>
      </w:r>
      <w:r w:rsidRPr="00F8155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макроэкономической</w:t>
      </w:r>
      <w:r w:rsidRPr="00F8155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ситуации,</w:t>
      </w:r>
      <w:r w:rsidRPr="00F8155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в том</w:t>
      </w:r>
      <w:r w:rsidRPr="00F8155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числе</w:t>
      </w:r>
      <w:r w:rsidRPr="00F8155E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повышение инфляции,</w:t>
      </w:r>
      <w:r w:rsidRPr="00F8155E">
        <w:rPr>
          <w:rFonts w:ascii="Liberation Serif" w:hAnsi="Liberation Serif"/>
          <w:spacing w:val="44"/>
          <w:w w:val="90"/>
          <w:sz w:val="28"/>
          <w:szCs w:val="28"/>
        </w:rPr>
        <w:t xml:space="preserve"> </w:t>
      </w:r>
      <w:r w:rsidRPr="00F8155E">
        <w:rPr>
          <w:rFonts w:ascii="Liberation Serif" w:hAnsi="Liberation Serif"/>
          <w:sz w:val="28"/>
          <w:szCs w:val="28"/>
        </w:rPr>
        <w:t>снижение цен на продукцию бюджетообразующих организаций;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2) исполнение местного бюджета с дефицитом, который значительно превышает прогнозируемый уровень;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3) снижение налоговых доходов местного бюджета вследствие структурной перестройки национальной экономики, вызванной ограничениями экспортных и импортных возможностей системообразующих предприятий </w:t>
      </w:r>
      <w:r w:rsidRPr="00F8155E">
        <w:rPr>
          <w:rFonts w:ascii="Liberation Serif" w:hAnsi="Liberation Serif"/>
          <w:sz w:val="28"/>
          <w:szCs w:val="28"/>
        </w:rPr>
        <w:br/>
        <w:t>из-за введенных санкций и неблагоприятно низкого курса национальной валюты;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4) рост объема краткосрочных долговых обязательств вследствие значительного сокращения доступной ликвидности при росте расходной части местного бюджета;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5) изменение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Федерации.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Глава 7. Дополнительные меры, способствующие</w:t>
      </w:r>
    </w:p>
    <w:p w:rsidR="00F8155E" w:rsidRPr="00F8155E" w:rsidRDefault="00F8155E" w:rsidP="00F8155E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>эффективной реализации долговой политики</w:t>
      </w:r>
    </w:p>
    <w:p w:rsidR="00F8155E" w:rsidRPr="00F8155E" w:rsidRDefault="00F8155E" w:rsidP="00F8155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Эффективной реализации долговой политики в 2024 году и плановом периоде 2025 и 2026 годов будут способствовать:</w:t>
      </w:r>
    </w:p>
    <w:p w:rsidR="00F8155E" w:rsidRPr="00F8155E" w:rsidRDefault="00F8155E" w:rsidP="00F8155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8155E">
        <w:rPr>
          <w:rFonts w:ascii="Liberation Serif" w:hAnsi="Liberation Serif" w:cs="Times New Roman"/>
          <w:sz w:val="28"/>
          <w:szCs w:val="28"/>
        </w:rPr>
        <w:t>1) реализация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 долга;</w:t>
      </w:r>
    </w:p>
    <w:p w:rsidR="00F8155E" w:rsidRPr="007601A7" w:rsidRDefault="00F8155E" w:rsidP="007601A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F8155E">
        <w:rPr>
          <w:rFonts w:ascii="Liberation Serif" w:hAnsi="Liberation Serif"/>
          <w:sz w:val="28"/>
          <w:szCs w:val="28"/>
        </w:rPr>
        <w:t xml:space="preserve">2) выполнение целевых показателей, предусмотренных </w:t>
      </w:r>
      <w:hyperlink r:id="rId9" w:history="1">
        <w:r w:rsidRPr="00F8155E">
          <w:rPr>
            <w:rFonts w:ascii="Liberation Serif" w:hAnsi="Liberation Serif"/>
            <w:sz w:val="28"/>
            <w:szCs w:val="28"/>
          </w:rPr>
          <w:t xml:space="preserve">подпрограммой </w:t>
        </w:r>
      </w:hyperlink>
      <w:r w:rsidRPr="00F8155E">
        <w:rPr>
          <w:rFonts w:ascii="Liberation Serif" w:hAnsi="Liberation Serif"/>
          <w:sz w:val="28"/>
          <w:szCs w:val="28"/>
        </w:rPr>
        <w:t>«Управление муниципальным  долгом» муниципальной программы Невьянского городского округа «Управление муниципальными  финансами Невьянского городского округа  до 2027 года», утвержденной постановлением администрации Невьянского городского округа от 20.10.2014 № 2550-п.</w:t>
      </w:r>
    </w:p>
    <w:p w:rsidR="00F8155E" w:rsidRPr="00F8155E" w:rsidRDefault="00F8155E" w:rsidP="00F8155E">
      <w:pPr>
        <w:jc w:val="center"/>
        <w:rPr>
          <w:rFonts w:ascii="Liberation Serif" w:hAnsi="Liberation Serif"/>
          <w:sz w:val="28"/>
          <w:szCs w:val="28"/>
        </w:rPr>
      </w:pPr>
    </w:p>
    <w:sectPr w:rsidR="00F8155E" w:rsidRPr="00F8155E" w:rsidSect="0036071A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A2" w:rsidRDefault="006C25A2" w:rsidP="0045537F">
      <w:pPr>
        <w:spacing w:after="0" w:line="240" w:lineRule="auto"/>
      </w:pPr>
      <w:r>
        <w:separator/>
      </w:r>
    </w:p>
  </w:endnote>
  <w:endnote w:type="continuationSeparator" w:id="0">
    <w:p w:rsidR="006C25A2" w:rsidRDefault="006C25A2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A2" w:rsidRDefault="006C25A2" w:rsidP="0045537F">
      <w:pPr>
        <w:spacing w:after="0" w:line="240" w:lineRule="auto"/>
      </w:pPr>
      <w:r>
        <w:separator/>
      </w:r>
    </w:p>
  </w:footnote>
  <w:footnote w:type="continuationSeparator" w:id="0">
    <w:p w:rsidR="006C25A2" w:rsidRDefault="006C25A2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C5556C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30452997" wp14:editId="68596516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96-п от 19.01.2024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0452997"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96-п от 19.01.2024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126"/>
    <w:multiLevelType w:val="hybridMultilevel"/>
    <w:tmpl w:val="0E9E0D02"/>
    <w:lvl w:ilvl="0" w:tplc="8BF0F908">
      <w:start w:val="1"/>
      <w:numFmt w:val="decimal"/>
      <w:lvlText w:val="%1)"/>
      <w:lvlJc w:val="left"/>
      <w:pPr>
        <w:ind w:left="119" w:hanging="316"/>
      </w:pPr>
      <w:rPr>
        <w:rFonts w:hint="default"/>
        <w:w w:val="97"/>
        <w:lang w:val="ru-RU" w:eastAsia="en-US" w:bidi="ar-SA"/>
      </w:rPr>
    </w:lvl>
    <w:lvl w:ilvl="1" w:tplc="36A6FABC">
      <w:numFmt w:val="bullet"/>
      <w:lvlText w:val="•"/>
      <w:lvlJc w:val="left"/>
      <w:pPr>
        <w:ind w:left="1122" w:hanging="316"/>
      </w:pPr>
      <w:rPr>
        <w:rFonts w:hint="default"/>
        <w:lang w:val="ru-RU" w:eastAsia="en-US" w:bidi="ar-SA"/>
      </w:rPr>
    </w:lvl>
    <w:lvl w:ilvl="2" w:tplc="9546496C">
      <w:numFmt w:val="bullet"/>
      <w:lvlText w:val="•"/>
      <w:lvlJc w:val="left"/>
      <w:pPr>
        <w:ind w:left="2124" w:hanging="316"/>
      </w:pPr>
      <w:rPr>
        <w:rFonts w:hint="default"/>
        <w:lang w:val="ru-RU" w:eastAsia="en-US" w:bidi="ar-SA"/>
      </w:rPr>
    </w:lvl>
    <w:lvl w:ilvl="3" w:tplc="252C87C2">
      <w:numFmt w:val="bullet"/>
      <w:lvlText w:val="•"/>
      <w:lvlJc w:val="left"/>
      <w:pPr>
        <w:ind w:left="3126" w:hanging="316"/>
      </w:pPr>
      <w:rPr>
        <w:rFonts w:hint="default"/>
        <w:lang w:val="ru-RU" w:eastAsia="en-US" w:bidi="ar-SA"/>
      </w:rPr>
    </w:lvl>
    <w:lvl w:ilvl="4" w:tplc="AA701CE2">
      <w:numFmt w:val="bullet"/>
      <w:lvlText w:val="•"/>
      <w:lvlJc w:val="left"/>
      <w:pPr>
        <w:ind w:left="4128" w:hanging="316"/>
      </w:pPr>
      <w:rPr>
        <w:rFonts w:hint="default"/>
        <w:lang w:val="ru-RU" w:eastAsia="en-US" w:bidi="ar-SA"/>
      </w:rPr>
    </w:lvl>
    <w:lvl w:ilvl="5" w:tplc="573CFA00">
      <w:numFmt w:val="bullet"/>
      <w:lvlText w:val="•"/>
      <w:lvlJc w:val="left"/>
      <w:pPr>
        <w:ind w:left="5130" w:hanging="316"/>
      </w:pPr>
      <w:rPr>
        <w:rFonts w:hint="default"/>
        <w:lang w:val="ru-RU" w:eastAsia="en-US" w:bidi="ar-SA"/>
      </w:rPr>
    </w:lvl>
    <w:lvl w:ilvl="6" w:tplc="7DC8DCC0">
      <w:numFmt w:val="bullet"/>
      <w:lvlText w:val="•"/>
      <w:lvlJc w:val="left"/>
      <w:pPr>
        <w:ind w:left="6132" w:hanging="316"/>
      </w:pPr>
      <w:rPr>
        <w:rFonts w:hint="default"/>
        <w:lang w:val="ru-RU" w:eastAsia="en-US" w:bidi="ar-SA"/>
      </w:rPr>
    </w:lvl>
    <w:lvl w:ilvl="7" w:tplc="4926C5D8">
      <w:numFmt w:val="bullet"/>
      <w:lvlText w:val="•"/>
      <w:lvlJc w:val="left"/>
      <w:pPr>
        <w:ind w:left="7134" w:hanging="316"/>
      </w:pPr>
      <w:rPr>
        <w:rFonts w:hint="default"/>
        <w:lang w:val="ru-RU" w:eastAsia="en-US" w:bidi="ar-SA"/>
      </w:rPr>
    </w:lvl>
    <w:lvl w:ilvl="8" w:tplc="A75E676E">
      <w:numFmt w:val="bullet"/>
      <w:lvlText w:val="•"/>
      <w:lvlJc w:val="left"/>
      <w:pPr>
        <w:ind w:left="8136" w:hanging="3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77DD0"/>
    <w:rsid w:val="00300D13"/>
    <w:rsid w:val="0036071A"/>
    <w:rsid w:val="0045537F"/>
    <w:rsid w:val="004763F8"/>
    <w:rsid w:val="00483123"/>
    <w:rsid w:val="005326B8"/>
    <w:rsid w:val="00597E6F"/>
    <w:rsid w:val="005E767B"/>
    <w:rsid w:val="00617CAA"/>
    <w:rsid w:val="00636D6B"/>
    <w:rsid w:val="006B0702"/>
    <w:rsid w:val="006C25A2"/>
    <w:rsid w:val="0073073F"/>
    <w:rsid w:val="007472DF"/>
    <w:rsid w:val="007601A7"/>
    <w:rsid w:val="007A1048"/>
    <w:rsid w:val="007E2219"/>
    <w:rsid w:val="009312E6"/>
    <w:rsid w:val="009E16AE"/>
    <w:rsid w:val="009F1BCC"/>
    <w:rsid w:val="009F1FE6"/>
    <w:rsid w:val="00A253D5"/>
    <w:rsid w:val="00AB65A0"/>
    <w:rsid w:val="00AE0515"/>
    <w:rsid w:val="00B06EB8"/>
    <w:rsid w:val="00BE310C"/>
    <w:rsid w:val="00BE4077"/>
    <w:rsid w:val="00BF15A9"/>
    <w:rsid w:val="00C44529"/>
    <w:rsid w:val="00C5556C"/>
    <w:rsid w:val="00C60936"/>
    <w:rsid w:val="00C769F7"/>
    <w:rsid w:val="00D0501D"/>
    <w:rsid w:val="00D152AD"/>
    <w:rsid w:val="00E06152"/>
    <w:rsid w:val="00E456C4"/>
    <w:rsid w:val="00E63613"/>
    <w:rsid w:val="00EB3FE5"/>
    <w:rsid w:val="00F20699"/>
    <w:rsid w:val="00F8155E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8AD9B9-9FB8-4D3D-A820-B5054B3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F81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1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87BBC0D0EFF25BDEA5A81E0F0E113519A1744157105597C31697277BC146365DC2968DA3B5A07CFB78928E5JBz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D1B60494916C31C645898931DF04E4278CB7A67C4FED4303F3C3B4E1A5258C1A0E6E3ADEFA0E54AC2C455D5B4AL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87BBC0D0EFF25BDEA448CF69CBF1953934E40127F080622616F2528EC1236379C7731987B4906CEA9892CE1BBF34398A2B521C69F959FCE210517JA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2024-01-19T10:09:00Z</dcterms:created>
  <dcterms:modified xsi:type="dcterms:W3CDTF">2024-01-19T10:09:00Z</dcterms:modified>
</cp:coreProperties>
</file>