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EA" w:rsidRDefault="00534098" w:rsidP="00631DEA">
      <w:pPr>
        <w:rPr>
          <w:b/>
          <w:sz w:val="32"/>
          <w:szCs w:val="32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pt;margin-top:-9pt;width:71.95pt;height:62.85pt;z-index:25166028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</v:shape>
          <o:OLEObject Type="Embed" ProgID="Word.Picture.8" ShapeID="_x0000_s1027" DrawAspect="Content" ObjectID="_1631017931" r:id="rId7"/>
        </w:pict>
      </w:r>
    </w:p>
    <w:p w:rsidR="00631DEA" w:rsidRDefault="00631DEA" w:rsidP="00631DEA">
      <w:pPr>
        <w:rPr>
          <w:b/>
          <w:sz w:val="32"/>
          <w:szCs w:val="32"/>
        </w:rPr>
      </w:pPr>
    </w:p>
    <w:p w:rsidR="00631DEA" w:rsidRDefault="00631DEA" w:rsidP="00631DEA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</w:t>
      </w:r>
    </w:p>
    <w:p w:rsidR="00631DEA" w:rsidRDefault="00631DEA" w:rsidP="00631DEA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631DEA" w:rsidRDefault="00631DEA" w:rsidP="00631DEA">
      <w:pPr>
        <w:jc w:val="center"/>
      </w:pPr>
      <w:r>
        <w:rPr>
          <w:b/>
          <w:sz w:val="40"/>
          <w:szCs w:val="40"/>
        </w:rPr>
        <w:t>Р Е Ш Е Н И Е</w:t>
      </w:r>
    </w:p>
    <w:p w:rsidR="00631DEA" w:rsidRDefault="00631DEA" w:rsidP="00631DEA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880100" cy="6350"/>
                <wp:effectExtent l="38100" t="38100" r="635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0100" cy="635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EB82FB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1.8pt,9.45pt" to="874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" strokeweight="1.59mm">
                <v:stroke joinstyle="miter" endcap="square"/>
                <w10:wrap anchorx="margin"/>
              </v:line>
            </w:pict>
          </mc:Fallback>
        </mc:AlternateContent>
      </w:r>
    </w:p>
    <w:p w:rsidR="00631DEA" w:rsidRDefault="00631DEA" w:rsidP="00631DEA"/>
    <w:p w:rsidR="00631DEA" w:rsidRDefault="00631DEA" w:rsidP="00631DEA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34098">
        <w:rPr>
          <w:sz w:val="24"/>
          <w:szCs w:val="24"/>
        </w:rPr>
        <w:t>25.09.2019</w:t>
      </w:r>
      <w:r w:rsidR="00D63A8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             </w:t>
      </w:r>
      <w:r w:rsidR="003629F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="00D63A8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№ </w:t>
      </w:r>
      <w:r w:rsidR="00D63A8F">
        <w:rPr>
          <w:sz w:val="24"/>
          <w:szCs w:val="24"/>
        </w:rPr>
        <w:t xml:space="preserve"> </w:t>
      </w:r>
      <w:r w:rsidR="00534098">
        <w:rPr>
          <w:sz w:val="24"/>
          <w:szCs w:val="24"/>
        </w:rPr>
        <w:t>93</w:t>
      </w:r>
    </w:p>
    <w:p w:rsidR="00631DEA" w:rsidRDefault="00631DEA" w:rsidP="00631DEA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631DEA" w:rsidRDefault="00631DEA" w:rsidP="00631DEA">
      <w:pPr>
        <w:rPr>
          <w:sz w:val="24"/>
          <w:szCs w:val="24"/>
        </w:rPr>
      </w:pPr>
    </w:p>
    <w:p w:rsidR="00631DEA" w:rsidRDefault="00631DEA" w:rsidP="00631DEA">
      <w:pPr>
        <w:jc w:val="center"/>
        <w:rPr>
          <w:b/>
          <w:i/>
        </w:rPr>
      </w:pPr>
    </w:p>
    <w:p w:rsidR="00544766" w:rsidRDefault="00544766" w:rsidP="006A7297">
      <w:pPr>
        <w:jc w:val="center"/>
        <w:rPr>
          <w:b/>
          <w:i/>
        </w:rPr>
      </w:pPr>
      <w:r w:rsidRPr="00544766">
        <w:rPr>
          <w:b/>
          <w:i/>
        </w:rPr>
        <w:t>О выполнении в 201</w:t>
      </w:r>
      <w:r w:rsidR="00D63A8F">
        <w:rPr>
          <w:b/>
          <w:i/>
        </w:rPr>
        <w:t>9</w:t>
      </w:r>
      <w:r w:rsidRPr="00544766">
        <w:rPr>
          <w:b/>
          <w:i/>
        </w:rPr>
        <w:t xml:space="preserve"> году </w:t>
      </w:r>
      <w:r w:rsidR="006A7297" w:rsidRPr="006A7297">
        <w:rPr>
          <w:b/>
          <w:i/>
        </w:rPr>
        <w:t>мероприятий по развитию газификации на территории Невьянского городского округа</w:t>
      </w:r>
    </w:p>
    <w:p w:rsidR="006A7297" w:rsidRDefault="006A7297" w:rsidP="006A7297">
      <w:pPr>
        <w:jc w:val="center"/>
      </w:pPr>
    </w:p>
    <w:p w:rsidR="00631DEA" w:rsidRDefault="00631DEA" w:rsidP="00544766">
      <w:pPr>
        <w:jc w:val="both"/>
      </w:pPr>
      <w:r>
        <w:t xml:space="preserve">        Заслушав информацию </w:t>
      </w:r>
      <w:r w:rsidR="00CB3A43">
        <w:t xml:space="preserve">исполняющего обязанности </w:t>
      </w:r>
      <w:r>
        <w:t xml:space="preserve">заместителя главы администрации Невьянского городского округа </w:t>
      </w:r>
      <w:r w:rsidR="008C7E4F" w:rsidRPr="00277BD2">
        <w:t>по вопросам реализации инвестиционных проектов, строительству, архитек</w:t>
      </w:r>
      <w:r w:rsidR="00CB3A43">
        <w:t xml:space="preserve">туре и управлению муниципальным </w:t>
      </w:r>
      <w:r w:rsidR="008C7E4F" w:rsidRPr="00277BD2">
        <w:t>имуществом</w:t>
      </w:r>
      <w:r w:rsidR="00CB3A43">
        <w:t xml:space="preserve"> И.В. Белякова</w:t>
      </w:r>
      <w:r w:rsidR="00665DE2">
        <w:t xml:space="preserve"> </w:t>
      </w:r>
      <w:r w:rsidRPr="003629F8">
        <w:t xml:space="preserve">о </w:t>
      </w:r>
      <w:r w:rsidR="00544766">
        <w:t>выполнении в 201</w:t>
      </w:r>
      <w:r w:rsidR="00CB3A43">
        <w:t>9</w:t>
      </w:r>
      <w:r w:rsidR="00544766">
        <w:t xml:space="preserve"> году </w:t>
      </w:r>
      <w:r w:rsidR="00CB3A43">
        <w:t xml:space="preserve">мероприятий по газификации </w:t>
      </w:r>
      <w:r w:rsidR="00544766">
        <w:t xml:space="preserve">Невьянского городского </w:t>
      </w:r>
      <w:r w:rsidR="00CB3A43">
        <w:t>округа</w:t>
      </w:r>
      <w:r>
        <w:t xml:space="preserve">, руководствуясь статьёй 6 Устава Невьянского городского округа, Дума Невьянского городского округа </w:t>
      </w:r>
    </w:p>
    <w:p w:rsidR="00631DEA" w:rsidRDefault="00631DEA" w:rsidP="00631DEA">
      <w:pPr>
        <w:jc w:val="both"/>
      </w:pPr>
    </w:p>
    <w:p w:rsidR="00631DEA" w:rsidRDefault="00631DEA" w:rsidP="00631DEA">
      <w:pPr>
        <w:jc w:val="both"/>
      </w:pPr>
      <w:r>
        <w:rPr>
          <w:b/>
        </w:rPr>
        <w:t>РЕШИЛА:</w:t>
      </w:r>
    </w:p>
    <w:p w:rsidR="00631DEA" w:rsidRDefault="00631DEA" w:rsidP="00631DEA">
      <w:pPr>
        <w:jc w:val="both"/>
      </w:pPr>
    </w:p>
    <w:p w:rsidR="00240512" w:rsidRPr="000911F0" w:rsidRDefault="00631DEA" w:rsidP="00544766">
      <w:pPr>
        <w:ind w:firstLine="708"/>
        <w:jc w:val="both"/>
      </w:pPr>
      <w:r>
        <w:t xml:space="preserve">1. </w:t>
      </w:r>
      <w:r w:rsidR="00240512">
        <w:t xml:space="preserve">Информацию </w:t>
      </w:r>
      <w:r w:rsidR="00CB3A43" w:rsidRPr="00CB3A43">
        <w:t xml:space="preserve">о выполнении в 2019 году мероприятий </w:t>
      </w:r>
      <w:r w:rsidR="00D21995" w:rsidRPr="00D21995">
        <w:t>по развитию газификации на территории Невьянского городского округа</w:t>
      </w:r>
      <w:r w:rsidR="00CB3A43">
        <w:t xml:space="preserve"> </w:t>
      </w:r>
      <w:r w:rsidR="00240512">
        <w:t>принять к сведению (прилагается).</w:t>
      </w:r>
    </w:p>
    <w:p w:rsidR="00631DEA" w:rsidRDefault="00631DEA" w:rsidP="00631DEA">
      <w:pPr>
        <w:jc w:val="both"/>
      </w:pPr>
    </w:p>
    <w:p w:rsidR="00631DEA" w:rsidRDefault="00631DEA" w:rsidP="00631DEA">
      <w:pPr>
        <w:jc w:val="both"/>
      </w:pPr>
    </w:p>
    <w:p w:rsidR="00631DEA" w:rsidRDefault="00631DEA" w:rsidP="00631DEA">
      <w:r>
        <w:t xml:space="preserve">Председатель Думы </w:t>
      </w:r>
    </w:p>
    <w:p w:rsidR="00631DEA" w:rsidRDefault="00631DEA" w:rsidP="00631DEA">
      <w:pPr>
        <w:rPr>
          <w:sz w:val="24"/>
          <w:szCs w:val="24"/>
        </w:rPr>
      </w:pPr>
      <w:r>
        <w:t xml:space="preserve">Невьянского городского округа                                       </w:t>
      </w:r>
      <w:r w:rsidR="00B917A6">
        <w:t xml:space="preserve">                Л.Я. Замятина</w:t>
      </w:r>
      <w:r>
        <w:t xml:space="preserve">                </w:t>
      </w:r>
    </w:p>
    <w:p w:rsidR="00631DEA" w:rsidRDefault="00631DEA" w:rsidP="00631DEA">
      <w:pPr>
        <w:rPr>
          <w:sz w:val="24"/>
          <w:szCs w:val="24"/>
        </w:rPr>
      </w:pPr>
    </w:p>
    <w:p w:rsidR="00631DEA" w:rsidRDefault="00631DEA" w:rsidP="00631DEA">
      <w:pPr>
        <w:rPr>
          <w:sz w:val="24"/>
          <w:szCs w:val="24"/>
        </w:rPr>
      </w:pPr>
    </w:p>
    <w:p w:rsidR="00631DEA" w:rsidRDefault="00631DEA" w:rsidP="00631DEA">
      <w:pPr>
        <w:rPr>
          <w:sz w:val="24"/>
          <w:szCs w:val="24"/>
        </w:rPr>
      </w:pPr>
    </w:p>
    <w:p w:rsidR="00631DEA" w:rsidRDefault="00631DEA" w:rsidP="00631DEA">
      <w:pPr>
        <w:rPr>
          <w:sz w:val="24"/>
          <w:szCs w:val="24"/>
        </w:rPr>
      </w:pPr>
    </w:p>
    <w:p w:rsidR="00631DEA" w:rsidRDefault="00631DEA" w:rsidP="00631DEA">
      <w:pPr>
        <w:rPr>
          <w:sz w:val="24"/>
          <w:szCs w:val="24"/>
        </w:rPr>
      </w:pPr>
    </w:p>
    <w:p w:rsidR="00631DEA" w:rsidRDefault="00631DEA" w:rsidP="00631DEA">
      <w:r>
        <w:rPr>
          <w:sz w:val="24"/>
          <w:szCs w:val="24"/>
        </w:rPr>
        <w:t xml:space="preserve">    </w:t>
      </w:r>
    </w:p>
    <w:p w:rsidR="00631DEA" w:rsidRDefault="00631DEA" w:rsidP="00631DEA"/>
    <w:p w:rsidR="00631DEA" w:rsidRDefault="00631DEA" w:rsidP="00631DEA">
      <w:pPr>
        <w:jc w:val="center"/>
        <w:rPr>
          <w:b/>
          <w:sz w:val="24"/>
          <w:szCs w:val="24"/>
        </w:rPr>
      </w:pPr>
    </w:p>
    <w:p w:rsidR="00CB3A43" w:rsidRDefault="00CB3A43" w:rsidP="00631DEA">
      <w:pPr>
        <w:jc w:val="center"/>
        <w:rPr>
          <w:b/>
          <w:sz w:val="24"/>
          <w:szCs w:val="24"/>
        </w:rPr>
      </w:pPr>
    </w:p>
    <w:p w:rsidR="00CB3A43" w:rsidRDefault="00CB3A43" w:rsidP="00631DEA">
      <w:pPr>
        <w:jc w:val="center"/>
        <w:rPr>
          <w:b/>
          <w:sz w:val="24"/>
          <w:szCs w:val="24"/>
        </w:rPr>
      </w:pPr>
    </w:p>
    <w:p w:rsidR="00CB3A43" w:rsidRDefault="00CB3A43" w:rsidP="00631DEA">
      <w:pPr>
        <w:jc w:val="center"/>
        <w:rPr>
          <w:b/>
          <w:sz w:val="24"/>
          <w:szCs w:val="24"/>
        </w:rPr>
      </w:pPr>
    </w:p>
    <w:p w:rsidR="00CB3A43" w:rsidRDefault="00CB3A43" w:rsidP="00631DEA">
      <w:pPr>
        <w:jc w:val="center"/>
        <w:rPr>
          <w:b/>
          <w:sz w:val="24"/>
          <w:szCs w:val="24"/>
        </w:rPr>
      </w:pPr>
    </w:p>
    <w:p w:rsidR="00CB3A43" w:rsidRDefault="00CB3A43" w:rsidP="00631DEA">
      <w:pPr>
        <w:jc w:val="center"/>
        <w:rPr>
          <w:b/>
          <w:sz w:val="24"/>
          <w:szCs w:val="24"/>
        </w:rPr>
      </w:pPr>
    </w:p>
    <w:p w:rsidR="00631DEA" w:rsidRDefault="00631DEA" w:rsidP="00631DEA"/>
    <w:p w:rsidR="00631DEA" w:rsidRDefault="00631DEA" w:rsidP="00631DEA">
      <w:pPr>
        <w:jc w:val="center"/>
      </w:pPr>
    </w:p>
    <w:p w:rsidR="00631DEA" w:rsidRDefault="00631DEA" w:rsidP="00631DEA"/>
    <w:p w:rsidR="00631DEA" w:rsidRDefault="00631DEA" w:rsidP="00631DEA"/>
    <w:p w:rsidR="00631DEA" w:rsidRDefault="00631DEA" w:rsidP="00631DEA"/>
    <w:p w:rsidR="001A4D4F" w:rsidRPr="001A4D4F" w:rsidRDefault="001A4D4F" w:rsidP="001A4D4F">
      <w:pPr>
        <w:jc w:val="right"/>
        <w:rPr>
          <w:sz w:val="24"/>
          <w:szCs w:val="24"/>
        </w:rPr>
      </w:pPr>
      <w:r w:rsidRPr="001A4D4F">
        <w:rPr>
          <w:sz w:val="24"/>
          <w:szCs w:val="24"/>
        </w:rPr>
        <w:t xml:space="preserve">                                                                              Приложение к решению                                                                           Думы Невьянского городского округа </w:t>
      </w:r>
    </w:p>
    <w:p w:rsidR="001A4D4F" w:rsidRPr="001A4D4F" w:rsidRDefault="001A4D4F" w:rsidP="001A4D4F">
      <w:pPr>
        <w:jc w:val="right"/>
        <w:rPr>
          <w:sz w:val="24"/>
          <w:szCs w:val="24"/>
        </w:rPr>
      </w:pPr>
      <w:r w:rsidRPr="001A4D4F">
        <w:rPr>
          <w:sz w:val="24"/>
          <w:szCs w:val="24"/>
        </w:rPr>
        <w:t xml:space="preserve">                                                                               от  </w:t>
      </w:r>
      <w:r w:rsidR="00534098">
        <w:rPr>
          <w:sz w:val="24"/>
          <w:szCs w:val="24"/>
        </w:rPr>
        <w:t xml:space="preserve">25.09.2019  </w:t>
      </w:r>
      <w:r w:rsidRPr="001A4D4F">
        <w:rPr>
          <w:sz w:val="24"/>
          <w:szCs w:val="24"/>
        </w:rPr>
        <w:t xml:space="preserve"> № </w:t>
      </w:r>
      <w:r w:rsidR="00534098">
        <w:rPr>
          <w:sz w:val="24"/>
          <w:szCs w:val="24"/>
        </w:rPr>
        <w:t xml:space="preserve"> 93</w:t>
      </w:r>
      <w:bookmarkStart w:id="0" w:name="_GoBack"/>
      <w:bookmarkEnd w:id="0"/>
      <w:r w:rsidRPr="001A4D4F">
        <w:rPr>
          <w:sz w:val="24"/>
          <w:szCs w:val="24"/>
        </w:rPr>
        <w:t xml:space="preserve">  </w:t>
      </w:r>
    </w:p>
    <w:p w:rsidR="009347AB" w:rsidRPr="001A4D4F" w:rsidRDefault="009347AB" w:rsidP="001A4D4F">
      <w:pPr>
        <w:jc w:val="right"/>
        <w:rPr>
          <w:sz w:val="24"/>
          <w:szCs w:val="24"/>
        </w:rPr>
      </w:pPr>
    </w:p>
    <w:p w:rsidR="001A4D4F" w:rsidRDefault="001A4D4F" w:rsidP="00A6126D">
      <w:pPr>
        <w:jc w:val="center"/>
        <w:rPr>
          <w:b/>
        </w:rPr>
      </w:pPr>
    </w:p>
    <w:p w:rsidR="001A4D4F" w:rsidRDefault="001A4D4F" w:rsidP="00A6126D">
      <w:pPr>
        <w:jc w:val="center"/>
        <w:rPr>
          <w:b/>
        </w:rPr>
      </w:pPr>
    </w:p>
    <w:p w:rsidR="00A6126D" w:rsidRDefault="00A6126D" w:rsidP="00A6126D">
      <w:pPr>
        <w:jc w:val="center"/>
        <w:rPr>
          <w:b/>
        </w:rPr>
      </w:pPr>
      <w:r w:rsidRPr="00A6126D">
        <w:rPr>
          <w:b/>
        </w:rPr>
        <w:t xml:space="preserve">Информация о выполнении в 2019 году мероприятий по </w:t>
      </w:r>
      <w:r w:rsidR="00D21995">
        <w:rPr>
          <w:b/>
        </w:rPr>
        <w:t xml:space="preserve">развитию </w:t>
      </w:r>
      <w:r w:rsidRPr="00A6126D">
        <w:rPr>
          <w:b/>
        </w:rPr>
        <w:t xml:space="preserve">газификации </w:t>
      </w:r>
      <w:r w:rsidR="00D21995">
        <w:rPr>
          <w:b/>
        </w:rPr>
        <w:t xml:space="preserve">на территории </w:t>
      </w:r>
      <w:r w:rsidRPr="00A6126D">
        <w:rPr>
          <w:b/>
        </w:rPr>
        <w:t>Невьянского городского округа</w:t>
      </w:r>
    </w:p>
    <w:p w:rsidR="00A6126D" w:rsidRPr="00A6126D" w:rsidRDefault="00A6126D" w:rsidP="00A6126D">
      <w:pPr>
        <w:jc w:val="center"/>
        <w:rPr>
          <w:b/>
        </w:rPr>
      </w:pPr>
    </w:p>
    <w:p w:rsidR="009347AB" w:rsidRDefault="009347AB" w:rsidP="009347AB">
      <w:pPr>
        <w:rPr>
          <w:b/>
          <w:i/>
          <w:u w:val="single"/>
        </w:rPr>
      </w:pPr>
      <w:r w:rsidRPr="00AB2232">
        <w:rPr>
          <w:b/>
          <w:i/>
          <w:u w:val="single"/>
        </w:rPr>
        <w:t xml:space="preserve">«Газоснабжение центральной части с. </w:t>
      </w:r>
      <w:proofErr w:type="spellStart"/>
      <w:r w:rsidRPr="00AB2232">
        <w:rPr>
          <w:b/>
          <w:i/>
          <w:u w:val="single"/>
        </w:rPr>
        <w:t>Быньги</w:t>
      </w:r>
      <w:proofErr w:type="spellEnd"/>
      <w:r w:rsidRPr="00AB2232">
        <w:rPr>
          <w:b/>
          <w:i/>
          <w:u w:val="single"/>
        </w:rPr>
        <w:t xml:space="preserve"> Невьянского района»</w:t>
      </w:r>
    </w:p>
    <w:p w:rsidR="009347AB" w:rsidRPr="00206EE0" w:rsidRDefault="009347AB" w:rsidP="009347AB">
      <w:pPr>
        <w:ind w:firstLine="708"/>
        <w:jc w:val="both"/>
      </w:pPr>
      <w:r w:rsidRPr="00206EE0">
        <w:t xml:space="preserve">18 июня 2019 года между администрацией Невьянского городского округа и обществом с ограниченной ответственностью «Сити </w:t>
      </w:r>
      <w:proofErr w:type="spellStart"/>
      <w:r w:rsidRPr="00206EE0">
        <w:t>Билдинг</w:t>
      </w:r>
      <w:proofErr w:type="spellEnd"/>
      <w:r w:rsidRPr="00206EE0">
        <w:t xml:space="preserve">» (ООО «СБ») был заключен муниципальный контракт № 91-ЭА-19 на выполнение работ по строительству объекта «Газоснабжение центральной части с. </w:t>
      </w:r>
      <w:proofErr w:type="spellStart"/>
      <w:r w:rsidRPr="00206EE0">
        <w:t>Быньги</w:t>
      </w:r>
      <w:proofErr w:type="spellEnd"/>
      <w:r w:rsidRPr="00206EE0">
        <w:t xml:space="preserve"> Невьянского района». Цена работ (цена Контракта) составляет 84 229 695,20 копеек, в том числе 1 этап – 29 747 753,80 руб., 2 этап – 31 981 688,00 руб., 3 этап – 22 500 253,40. Срок начала работ - в течение 5 рабочих дней с момента подписания контракта. Срок окончания работ - по 01 августа 2020 года.</w:t>
      </w:r>
    </w:p>
    <w:p w:rsidR="009347AB" w:rsidRPr="00206EE0" w:rsidRDefault="009347AB" w:rsidP="009347AB">
      <w:pPr>
        <w:ind w:firstLine="708"/>
        <w:jc w:val="both"/>
      </w:pPr>
      <w:r w:rsidRPr="00206EE0">
        <w:t>23 июля 2019 года было подписано Соглашение № 2019/2-16 с Министерством энергетики и жилищно-коммунального хозяйства Свердловской области о предоставлении субсидии из областного бюджета бюджету невьянского городского округа на реализацию проектов капитального строительства муниципального значения по развитию газификации на 1 этап строительства объекта.</w:t>
      </w:r>
      <w:r w:rsidR="006A25F4">
        <w:t xml:space="preserve"> Согласно </w:t>
      </w:r>
      <w:r w:rsidRPr="00206EE0">
        <w:t>соглашению</w:t>
      </w:r>
      <w:r w:rsidR="006A25F4">
        <w:t xml:space="preserve"> </w:t>
      </w:r>
      <w:r w:rsidRPr="00206EE0">
        <w:t xml:space="preserve">в 2019 году на строительство 1 этапа газопровода </w:t>
      </w:r>
      <w:proofErr w:type="gramStart"/>
      <w:r w:rsidRPr="00206EE0">
        <w:t>в</w:t>
      </w:r>
      <w:proofErr w:type="gramEnd"/>
      <w:r w:rsidRPr="00206EE0">
        <w:t xml:space="preserve"> с. </w:t>
      </w:r>
      <w:proofErr w:type="spellStart"/>
      <w:r w:rsidRPr="00206EE0">
        <w:t>Быньги</w:t>
      </w:r>
      <w:proofErr w:type="spellEnd"/>
      <w:r w:rsidRPr="00206EE0">
        <w:t xml:space="preserve"> будет выделено 28 220 853,80 руб. средств областного бюджета.</w:t>
      </w:r>
    </w:p>
    <w:p w:rsidR="009347AB" w:rsidRDefault="009347AB" w:rsidP="009347AB">
      <w:pPr>
        <w:ind w:firstLine="708"/>
        <w:jc w:val="both"/>
      </w:pPr>
      <w:r w:rsidRPr="00206EE0">
        <w:t xml:space="preserve">11 июля 2019 года был заключен договор № 88/19 с ГКУ СО «УКС Свердловской области» на оказание услуг строительного контроля по объекту «Газоснабжение центральной части с. </w:t>
      </w:r>
      <w:proofErr w:type="spellStart"/>
      <w:r w:rsidRPr="00206EE0">
        <w:t>Быньги</w:t>
      </w:r>
      <w:proofErr w:type="spellEnd"/>
      <w:r w:rsidRPr="00206EE0">
        <w:t xml:space="preserve"> Невьянского района». Цена договора составляет 99 000 рублей. Сроки начала оказания услуг – с момента заключения договора. Сроки окончания оказания услуг – до 01 августа 2020 года.</w:t>
      </w:r>
      <w:r>
        <w:t xml:space="preserve"> </w:t>
      </w:r>
    </w:p>
    <w:p w:rsidR="009347AB" w:rsidRDefault="009347AB" w:rsidP="009347AB">
      <w:pPr>
        <w:ind w:firstLine="708"/>
        <w:jc w:val="both"/>
      </w:pPr>
      <w:r>
        <w:t xml:space="preserve">В 2019 году осуществляется проведение работ </w:t>
      </w:r>
      <w:r>
        <w:rPr>
          <w:lang w:val="en-US"/>
        </w:rPr>
        <w:t>I</w:t>
      </w:r>
      <w:r w:rsidRPr="009267F6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этапа строительства сумма финансирования двух этапов – 43 629,16 тыс. руб., из них: 40 388,20 тыс. руб. – областной бюджет, 3 240,96 тыс. </w:t>
      </w:r>
      <w:proofErr w:type="spellStart"/>
      <w:r>
        <w:t>руб</w:t>
      </w:r>
      <w:proofErr w:type="spellEnd"/>
      <w:r>
        <w:t xml:space="preserve"> – местный бюджет. </w:t>
      </w:r>
    </w:p>
    <w:p w:rsidR="009347AB" w:rsidRDefault="009347AB" w:rsidP="009347AB">
      <w:pPr>
        <w:ind w:firstLine="708"/>
        <w:jc w:val="both"/>
      </w:pPr>
      <w:r>
        <w:rPr>
          <w:lang w:val="en-US"/>
        </w:rPr>
        <w:t>III</w:t>
      </w:r>
      <w:r>
        <w:t xml:space="preserve"> этап строительства будет осуществлен в 2020 году. Сумма местного бюджета на </w:t>
      </w:r>
      <w:proofErr w:type="spellStart"/>
      <w:r>
        <w:t>софинансирование</w:t>
      </w:r>
      <w:proofErr w:type="spellEnd"/>
      <w:r>
        <w:t xml:space="preserve"> </w:t>
      </w:r>
      <w:r>
        <w:rPr>
          <w:lang w:val="en-US"/>
        </w:rPr>
        <w:t>III</w:t>
      </w:r>
      <w:r>
        <w:t xml:space="preserve"> этапа составляет – 1 181,35 тыс. руб. областного бюджета - 41 752,80 тыс. руб. </w:t>
      </w:r>
    </w:p>
    <w:p w:rsidR="00A11D42" w:rsidRDefault="00A11D42" w:rsidP="009347AB">
      <w:pPr>
        <w:ind w:firstLine="708"/>
        <w:jc w:val="both"/>
      </w:pPr>
    </w:p>
    <w:p w:rsidR="009347AB" w:rsidRDefault="009347AB" w:rsidP="009347AB">
      <w:pPr>
        <w:ind w:firstLine="709"/>
        <w:contextualSpacing/>
        <w:jc w:val="both"/>
      </w:pPr>
      <w:r w:rsidRPr="003F1A27">
        <w:t xml:space="preserve">По состоянию на </w:t>
      </w:r>
      <w:r w:rsidRPr="00F143AB">
        <w:t>01</w:t>
      </w:r>
      <w:r w:rsidRPr="003F1A27">
        <w:t xml:space="preserve"> сентября 2019 года на объекте «Газоснабжение центральной части с. </w:t>
      </w:r>
      <w:proofErr w:type="spellStart"/>
      <w:r w:rsidRPr="003F1A27">
        <w:t>Быньги</w:t>
      </w:r>
      <w:proofErr w:type="spellEnd"/>
      <w:r w:rsidRPr="003F1A27">
        <w:t xml:space="preserve"> Невьянского района. I этап строительства» произведены следующие работы:</w:t>
      </w:r>
    </w:p>
    <w:p w:rsidR="009347AB" w:rsidRPr="003F1A27" w:rsidRDefault="009347AB" w:rsidP="009347AB">
      <w:pPr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327"/>
        <w:gridCol w:w="3748"/>
      </w:tblGrid>
      <w:tr w:rsidR="009347AB" w:rsidRPr="003F1A27" w:rsidTr="005526E4"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center"/>
              <w:outlineLvl w:val="0"/>
            </w:pPr>
            <w:r w:rsidRPr="003F1A27">
              <w:lastRenderedPageBreak/>
              <w:t>№</w:t>
            </w:r>
          </w:p>
        </w:tc>
        <w:tc>
          <w:tcPr>
            <w:tcW w:w="5453" w:type="dxa"/>
            <w:shd w:val="clear" w:color="auto" w:fill="auto"/>
          </w:tcPr>
          <w:p w:rsidR="009347AB" w:rsidRPr="003F1A27" w:rsidRDefault="009347AB" w:rsidP="005526E4">
            <w:pPr>
              <w:jc w:val="center"/>
              <w:outlineLvl w:val="0"/>
            </w:pPr>
            <w:r w:rsidRPr="003F1A27">
              <w:t>Вид работ</w:t>
            </w:r>
          </w:p>
        </w:tc>
        <w:tc>
          <w:tcPr>
            <w:tcW w:w="3821" w:type="dxa"/>
            <w:shd w:val="clear" w:color="auto" w:fill="auto"/>
          </w:tcPr>
          <w:p w:rsidR="009347AB" w:rsidRPr="003F1A27" w:rsidRDefault="009347AB" w:rsidP="005526E4">
            <w:pPr>
              <w:jc w:val="center"/>
              <w:outlineLvl w:val="0"/>
            </w:pPr>
            <w:r w:rsidRPr="003F1A27">
              <w:t>Объем выполненных работ</w:t>
            </w:r>
          </w:p>
        </w:tc>
      </w:tr>
      <w:tr w:rsidR="009347AB" w:rsidRPr="003F1A27" w:rsidTr="005526E4"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1</w:t>
            </w:r>
          </w:p>
        </w:tc>
        <w:tc>
          <w:tcPr>
            <w:tcW w:w="5453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Разбивка 2 этапа</w:t>
            </w:r>
          </w:p>
        </w:tc>
        <w:tc>
          <w:tcPr>
            <w:tcW w:w="3821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Выполнена полностью</w:t>
            </w:r>
          </w:p>
        </w:tc>
      </w:tr>
      <w:tr w:rsidR="009347AB" w:rsidRPr="003F1A27" w:rsidTr="005526E4"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2</w:t>
            </w:r>
          </w:p>
        </w:tc>
        <w:tc>
          <w:tcPr>
            <w:tcW w:w="5453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 xml:space="preserve">Разбивка 1 этапа </w:t>
            </w:r>
          </w:p>
        </w:tc>
        <w:tc>
          <w:tcPr>
            <w:tcW w:w="3821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Выполнена полностью</w:t>
            </w:r>
          </w:p>
        </w:tc>
      </w:tr>
      <w:tr w:rsidR="009347AB" w:rsidRPr="003F1A27" w:rsidTr="005526E4">
        <w:trPr>
          <w:trHeight w:val="1182"/>
        </w:trPr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</w:p>
        </w:tc>
        <w:tc>
          <w:tcPr>
            <w:tcW w:w="5453" w:type="dxa"/>
            <w:shd w:val="clear" w:color="auto" w:fill="auto"/>
          </w:tcPr>
          <w:p w:rsidR="009347AB" w:rsidRPr="003F1A27" w:rsidRDefault="009347AB" w:rsidP="005526E4">
            <w:pPr>
              <w:contextualSpacing/>
              <w:jc w:val="both"/>
            </w:pPr>
            <w:r w:rsidRPr="00F143AB">
              <w:t xml:space="preserve">Сварка труб </w:t>
            </w:r>
            <w:r w:rsidRPr="003F1A27">
              <w:t>Ø</w:t>
            </w:r>
            <w:r w:rsidRPr="00F143AB">
              <w:t xml:space="preserve"> 159 приварка отводов </w:t>
            </w:r>
            <w:r w:rsidRPr="003F1A27">
              <w:t>Ø</w:t>
            </w:r>
            <w:r w:rsidRPr="00F143AB">
              <w:t xml:space="preserve"> 159 укладка газопровода на опоры</w:t>
            </w:r>
            <w:r>
              <w:t xml:space="preserve"> </w:t>
            </w:r>
            <w:r w:rsidRPr="003F1A27">
              <w:t>Ø</w:t>
            </w:r>
            <w:r w:rsidRPr="00F143AB">
              <w:t xml:space="preserve"> 159 по ул</w:t>
            </w:r>
            <w:r>
              <w:t>.</w:t>
            </w:r>
            <w:r w:rsidRPr="00F143AB">
              <w:t xml:space="preserve"> Энгельса  </w:t>
            </w:r>
          </w:p>
        </w:tc>
        <w:tc>
          <w:tcPr>
            <w:tcW w:w="3821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F143AB">
              <w:t>400 м</w:t>
            </w:r>
            <w:r>
              <w:t>.</w:t>
            </w:r>
          </w:p>
        </w:tc>
      </w:tr>
      <w:tr w:rsidR="009347AB" w:rsidRPr="003F1A27" w:rsidTr="005526E4">
        <w:trPr>
          <w:trHeight w:val="1270"/>
        </w:trPr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</w:p>
        </w:tc>
        <w:tc>
          <w:tcPr>
            <w:tcW w:w="5453" w:type="dxa"/>
            <w:shd w:val="clear" w:color="auto" w:fill="auto"/>
          </w:tcPr>
          <w:p w:rsidR="009347AB" w:rsidRPr="00F143AB" w:rsidRDefault="009347AB" w:rsidP="005526E4">
            <w:pPr>
              <w:contextualSpacing/>
              <w:jc w:val="both"/>
            </w:pPr>
            <w:r>
              <w:t>Б</w:t>
            </w:r>
            <w:r w:rsidRPr="00F143AB">
              <w:t>урение закладных деталей под опоры по ул.</w:t>
            </w:r>
            <w:r>
              <w:t xml:space="preserve"> Энгельса, </w:t>
            </w:r>
            <w:r w:rsidRPr="00F143AB">
              <w:t>пер. Нов</w:t>
            </w:r>
            <w:r>
              <w:t>ый,</w:t>
            </w:r>
            <w:r w:rsidRPr="00F143AB">
              <w:t xml:space="preserve"> ул.</w:t>
            </w:r>
            <w:r>
              <w:t xml:space="preserve"> </w:t>
            </w:r>
            <w:r w:rsidRPr="00F143AB">
              <w:t>Еловая</w:t>
            </w:r>
            <w:r>
              <w:t xml:space="preserve">, </w:t>
            </w:r>
            <w:r w:rsidRPr="00F143AB">
              <w:t xml:space="preserve"> </w:t>
            </w:r>
            <w:r>
              <w:t xml:space="preserve">                         </w:t>
            </w:r>
            <w:r w:rsidRPr="00F143AB">
              <w:t>пер.</w:t>
            </w:r>
            <w:r>
              <w:t xml:space="preserve"> </w:t>
            </w:r>
            <w:r w:rsidRPr="00F143AB">
              <w:t>Энгельса</w:t>
            </w:r>
            <w:r>
              <w:t xml:space="preserve">, </w:t>
            </w:r>
            <w:r w:rsidRPr="00F143AB">
              <w:t>ул.</w:t>
            </w:r>
            <w:r>
              <w:t xml:space="preserve"> </w:t>
            </w:r>
            <w:r w:rsidRPr="00F143AB">
              <w:t>Кооперативная.</w:t>
            </w:r>
          </w:p>
        </w:tc>
        <w:tc>
          <w:tcPr>
            <w:tcW w:w="3821" w:type="dxa"/>
            <w:shd w:val="clear" w:color="auto" w:fill="auto"/>
          </w:tcPr>
          <w:p w:rsidR="009347AB" w:rsidRPr="00F143AB" w:rsidRDefault="009347AB" w:rsidP="005526E4">
            <w:pPr>
              <w:jc w:val="both"/>
              <w:outlineLvl w:val="0"/>
            </w:pPr>
            <w:r>
              <w:t xml:space="preserve">289 шт. </w:t>
            </w:r>
          </w:p>
        </w:tc>
      </w:tr>
      <w:tr w:rsidR="009347AB" w:rsidRPr="003F1A27" w:rsidTr="005526E4">
        <w:tc>
          <w:tcPr>
            <w:tcW w:w="9770" w:type="dxa"/>
            <w:gridSpan w:val="3"/>
            <w:shd w:val="clear" w:color="auto" w:fill="auto"/>
          </w:tcPr>
          <w:p w:rsidR="009347AB" w:rsidRPr="003F1A27" w:rsidRDefault="009347AB" w:rsidP="005526E4">
            <w:pPr>
              <w:jc w:val="center"/>
              <w:outlineLvl w:val="0"/>
            </w:pPr>
            <w:r w:rsidRPr="003F1A27">
              <w:t>по ул. Энгельса, ул. Кооперативная, ул. Колхозная</w:t>
            </w:r>
          </w:p>
        </w:tc>
      </w:tr>
      <w:tr w:rsidR="009347AB" w:rsidRPr="003F1A27" w:rsidTr="005526E4"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3</w:t>
            </w:r>
          </w:p>
        </w:tc>
        <w:tc>
          <w:tcPr>
            <w:tcW w:w="5453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 xml:space="preserve">Бурение под опоры </w:t>
            </w:r>
            <w:proofErr w:type="spellStart"/>
            <w:r w:rsidRPr="003F1A27">
              <w:t>Ду</w:t>
            </w:r>
            <w:proofErr w:type="spellEnd"/>
            <w:r w:rsidRPr="003F1A27">
              <w:t xml:space="preserve"> 500</w:t>
            </w:r>
          </w:p>
        </w:tc>
        <w:tc>
          <w:tcPr>
            <w:tcW w:w="3821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 xml:space="preserve">103 шт. </w:t>
            </w:r>
          </w:p>
        </w:tc>
      </w:tr>
      <w:tr w:rsidR="009347AB" w:rsidRPr="003F1A27" w:rsidTr="005526E4"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4</w:t>
            </w:r>
          </w:p>
        </w:tc>
        <w:tc>
          <w:tcPr>
            <w:tcW w:w="5453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 xml:space="preserve">Нарезка и бетонирование стаканов под опоры </w:t>
            </w:r>
          </w:p>
        </w:tc>
        <w:tc>
          <w:tcPr>
            <w:tcW w:w="3821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103 шт.</w:t>
            </w:r>
          </w:p>
        </w:tc>
      </w:tr>
      <w:tr w:rsidR="009347AB" w:rsidRPr="003F1A27" w:rsidTr="005526E4"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5</w:t>
            </w:r>
          </w:p>
        </w:tc>
        <w:tc>
          <w:tcPr>
            <w:tcW w:w="5453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Установка опор Ø 159</w:t>
            </w:r>
          </w:p>
        </w:tc>
        <w:tc>
          <w:tcPr>
            <w:tcW w:w="3821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93 шт.</w:t>
            </w:r>
          </w:p>
        </w:tc>
      </w:tr>
      <w:tr w:rsidR="009347AB" w:rsidRPr="003F1A27" w:rsidTr="005526E4"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6</w:t>
            </w:r>
          </w:p>
        </w:tc>
        <w:tc>
          <w:tcPr>
            <w:tcW w:w="5453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Установка опор Ø 219</w:t>
            </w:r>
          </w:p>
        </w:tc>
        <w:tc>
          <w:tcPr>
            <w:tcW w:w="3821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10 шт.</w:t>
            </w:r>
          </w:p>
        </w:tc>
      </w:tr>
      <w:tr w:rsidR="009347AB" w:rsidRPr="003F1A27" w:rsidTr="005526E4"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7</w:t>
            </w:r>
          </w:p>
        </w:tc>
        <w:tc>
          <w:tcPr>
            <w:tcW w:w="5453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Сварка линейной части газопровода Ø 159, приварка отводов</w:t>
            </w:r>
          </w:p>
        </w:tc>
        <w:tc>
          <w:tcPr>
            <w:tcW w:w="3821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600 м</w:t>
            </w:r>
          </w:p>
        </w:tc>
      </w:tr>
      <w:tr w:rsidR="009347AB" w:rsidRPr="003F1A27" w:rsidTr="005526E4"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8</w:t>
            </w:r>
          </w:p>
        </w:tc>
        <w:tc>
          <w:tcPr>
            <w:tcW w:w="5453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Закручивание свай Ø76</w:t>
            </w:r>
          </w:p>
        </w:tc>
        <w:tc>
          <w:tcPr>
            <w:tcW w:w="3821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 xml:space="preserve">30 шт. </w:t>
            </w:r>
          </w:p>
        </w:tc>
      </w:tr>
      <w:tr w:rsidR="009347AB" w:rsidRPr="003F1A27" w:rsidTr="005526E4"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9</w:t>
            </w:r>
          </w:p>
        </w:tc>
        <w:tc>
          <w:tcPr>
            <w:tcW w:w="5453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Изготовление и установка опор Ø57</w:t>
            </w:r>
          </w:p>
        </w:tc>
        <w:tc>
          <w:tcPr>
            <w:tcW w:w="3821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105 шт.</w:t>
            </w:r>
          </w:p>
        </w:tc>
      </w:tr>
      <w:tr w:rsidR="009347AB" w:rsidRPr="003F1A27" w:rsidTr="005526E4"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10</w:t>
            </w:r>
          </w:p>
        </w:tc>
        <w:tc>
          <w:tcPr>
            <w:tcW w:w="5453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 xml:space="preserve">Монтаж линейной части газопровода Ø 57 на опоры </w:t>
            </w:r>
          </w:p>
        </w:tc>
        <w:tc>
          <w:tcPr>
            <w:tcW w:w="3821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>
              <w:t>7</w:t>
            </w:r>
            <w:r w:rsidRPr="003F1A27">
              <w:t>50 м</w:t>
            </w:r>
          </w:p>
        </w:tc>
      </w:tr>
      <w:tr w:rsidR="009347AB" w:rsidRPr="003F1A27" w:rsidTr="005526E4"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11</w:t>
            </w:r>
          </w:p>
        </w:tc>
        <w:tc>
          <w:tcPr>
            <w:tcW w:w="5453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 xml:space="preserve">Бурение закладных деталей по </w:t>
            </w:r>
            <w:proofErr w:type="spellStart"/>
            <w:r w:rsidRPr="003F1A27">
              <w:t>ул.Энгельса</w:t>
            </w:r>
            <w:proofErr w:type="spellEnd"/>
            <w:r w:rsidRPr="003F1A27">
              <w:t xml:space="preserve"> от дома № 1 и дома № 2 до ул.</w:t>
            </w:r>
            <w:r w:rsidRPr="00F90FA9">
              <w:t xml:space="preserve"> </w:t>
            </w:r>
            <w:r w:rsidRPr="003F1A27">
              <w:t>Кооперативной</w:t>
            </w:r>
          </w:p>
        </w:tc>
        <w:tc>
          <w:tcPr>
            <w:tcW w:w="3821" w:type="dxa"/>
            <w:shd w:val="clear" w:color="auto" w:fill="auto"/>
          </w:tcPr>
          <w:p w:rsidR="009347AB" w:rsidRPr="00F90FA9" w:rsidRDefault="009347AB" w:rsidP="005526E4">
            <w:pPr>
              <w:jc w:val="both"/>
              <w:outlineLvl w:val="0"/>
            </w:pPr>
            <w:r>
              <w:t>В полном объеме</w:t>
            </w:r>
          </w:p>
        </w:tc>
      </w:tr>
      <w:tr w:rsidR="009347AB" w:rsidRPr="003F1A27" w:rsidTr="005526E4"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>
              <w:t>12</w:t>
            </w:r>
          </w:p>
        </w:tc>
        <w:tc>
          <w:tcPr>
            <w:tcW w:w="5453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>
              <w:t xml:space="preserve">Монтаж опор </w:t>
            </w:r>
            <w:r w:rsidRPr="003F1A27">
              <w:t xml:space="preserve">Ø 57 </w:t>
            </w:r>
            <w:r>
              <w:t xml:space="preserve"> </w:t>
            </w:r>
            <w:r w:rsidRPr="003F1A27">
              <w:t xml:space="preserve">по </w:t>
            </w:r>
            <w:proofErr w:type="spellStart"/>
            <w:r w:rsidRPr="003F1A27">
              <w:t>ул.Энгельса</w:t>
            </w:r>
            <w:proofErr w:type="spellEnd"/>
            <w:r w:rsidRPr="003F1A27">
              <w:t xml:space="preserve"> от дома № 1 и дома № 2 до ул.</w:t>
            </w:r>
            <w:r w:rsidRPr="00F90FA9">
              <w:t xml:space="preserve"> </w:t>
            </w:r>
            <w:r w:rsidRPr="003F1A27">
              <w:t>Кооперативной</w:t>
            </w:r>
          </w:p>
        </w:tc>
        <w:tc>
          <w:tcPr>
            <w:tcW w:w="3821" w:type="dxa"/>
            <w:shd w:val="clear" w:color="auto" w:fill="auto"/>
          </w:tcPr>
          <w:p w:rsidR="009347AB" w:rsidRPr="00F90FA9" w:rsidRDefault="009347AB" w:rsidP="005526E4">
            <w:pPr>
              <w:jc w:val="both"/>
              <w:outlineLvl w:val="0"/>
            </w:pPr>
            <w:r>
              <w:t xml:space="preserve">150 шт. </w:t>
            </w:r>
          </w:p>
        </w:tc>
      </w:tr>
      <w:tr w:rsidR="009347AB" w:rsidRPr="003F1A27" w:rsidTr="005526E4"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12</w:t>
            </w:r>
          </w:p>
        </w:tc>
        <w:tc>
          <w:tcPr>
            <w:tcW w:w="5453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Бурение закладных деталей по ул. Колхозная</w:t>
            </w:r>
          </w:p>
        </w:tc>
        <w:tc>
          <w:tcPr>
            <w:tcW w:w="3821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50 шт.</w:t>
            </w:r>
          </w:p>
        </w:tc>
      </w:tr>
      <w:tr w:rsidR="009347AB" w:rsidRPr="003F1A27" w:rsidTr="005526E4">
        <w:tc>
          <w:tcPr>
            <w:tcW w:w="496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13</w:t>
            </w:r>
          </w:p>
        </w:tc>
        <w:tc>
          <w:tcPr>
            <w:tcW w:w="5453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Устройство винтовых свай</w:t>
            </w:r>
          </w:p>
        </w:tc>
        <w:tc>
          <w:tcPr>
            <w:tcW w:w="3821" w:type="dxa"/>
            <w:shd w:val="clear" w:color="auto" w:fill="auto"/>
          </w:tcPr>
          <w:p w:rsidR="009347AB" w:rsidRPr="003F1A27" w:rsidRDefault="009347AB" w:rsidP="005526E4">
            <w:pPr>
              <w:jc w:val="both"/>
              <w:outlineLvl w:val="0"/>
            </w:pPr>
            <w:r w:rsidRPr="003F1A27">
              <w:t>450 шт.</w:t>
            </w:r>
          </w:p>
        </w:tc>
      </w:tr>
    </w:tbl>
    <w:p w:rsidR="009347AB" w:rsidRPr="002054A2" w:rsidRDefault="009347AB" w:rsidP="009347AB">
      <w:pPr>
        <w:ind w:firstLine="708"/>
        <w:jc w:val="both"/>
      </w:pPr>
    </w:p>
    <w:p w:rsidR="009347AB" w:rsidRPr="00210670" w:rsidRDefault="009347AB" w:rsidP="009347AB">
      <w:pPr>
        <w:jc w:val="both"/>
        <w:rPr>
          <w:b/>
          <w:i/>
          <w:u w:val="single"/>
        </w:rPr>
      </w:pPr>
      <w:r w:rsidRPr="00210670">
        <w:rPr>
          <w:b/>
          <w:i/>
          <w:u w:val="single"/>
        </w:rPr>
        <w:t xml:space="preserve">«Газопровод к селу </w:t>
      </w:r>
      <w:proofErr w:type="spellStart"/>
      <w:r w:rsidRPr="00210670">
        <w:rPr>
          <w:b/>
          <w:i/>
          <w:u w:val="single"/>
        </w:rPr>
        <w:t>Шурала</w:t>
      </w:r>
      <w:proofErr w:type="spellEnd"/>
      <w:r w:rsidRPr="00210670">
        <w:rPr>
          <w:b/>
          <w:i/>
          <w:u w:val="single"/>
        </w:rPr>
        <w:t xml:space="preserve"> Невьянского района»</w:t>
      </w:r>
    </w:p>
    <w:p w:rsidR="009347AB" w:rsidRPr="00C2175A" w:rsidRDefault="009347AB" w:rsidP="009347AB">
      <w:pPr>
        <w:ind w:firstLine="708"/>
        <w:jc w:val="both"/>
      </w:pPr>
      <w:r w:rsidRPr="00C2175A">
        <w:t>17 июня 2019 года между администрацией Невьянского городского округа и ООО Строительная компания «</w:t>
      </w:r>
      <w:proofErr w:type="spellStart"/>
      <w:r w:rsidRPr="00C2175A">
        <w:t>УниверсалСпецСтрой</w:t>
      </w:r>
      <w:proofErr w:type="spellEnd"/>
      <w:r w:rsidRPr="00C2175A">
        <w:t xml:space="preserve">» был заключен муниципальный контракт № 87-ЭА-19 на выполнение работ по строительству объекта «Газопровод к селу </w:t>
      </w:r>
      <w:proofErr w:type="spellStart"/>
      <w:r w:rsidRPr="00C2175A">
        <w:t>Шурала</w:t>
      </w:r>
      <w:proofErr w:type="spellEnd"/>
      <w:r w:rsidRPr="00C2175A">
        <w:t xml:space="preserve"> Невьянского района». Цена работ (цена Контракта) составляет 14 092 931,25 руб. Срок начала работ - в течение 5 рабочих дней с момента подписания контракта. Срок окончания работ - до 23.12.2019 г.</w:t>
      </w:r>
    </w:p>
    <w:p w:rsidR="009347AB" w:rsidRPr="00C2175A" w:rsidRDefault="009347AB" w:rsidP="009347AB">
      <w:pPr>
        <w:ind w:firstLine="708"/>
        <w:jc w:val="both"/>
      </w:pPr>
      <w:r w:rsidRPr="00C2175A">
        <w:t xml:space="preserve">23 июля 2019 года было подписано Соглашение № 2019/2-15 с Министерством энергетики и жилищно-коммунального хозяйства Свердловской области о предоставлении субсидии из областного бюджета бюджету невьянского городского округа на реализацию проектов капитального строительства муниципального значения по развитию </w:t>
      </w:r>
      <w:r w:rsidRPr="00C2175A">
        <w:lastRenderedPageBreak/>
        <w:t xml:space="preserve">газификации. Согласно соглашению в 2019 году на строительство газопровода </w:t>
      </w:r>
      <w:proofErr w:type="gramStart"/>
      <w:r w:rsidRPr="00C2175A">
        <w:t>к</w:t>
      </w:r>
      <w:proofErr w:type="gramEnd"/>
      <w:r w:rsidRPr="00C2175A">
        <w:t xml:space="preserve"> с. </w:t>
      </w:r>
      <w:proofErr w:type="spellStart"/>
      <w:r w:rsidRPr="00C2175A">
        <w:t>Шурала</w:t>
      </w:r>
      <w:proofErr w:type="spellEnd"/>
      <w:r w:rsidRPr="00C2175A">
        <w:t xml:space="preserve"> будет выделено 13 368 131,25 руб. средств областного бюджета.</w:t>
      </w:r>
    </w:p>
    <w:p w:rsidR="009347AB" w:rsidRDefault="009347AB" w:rsidP="009347AB">
      <w:pPr>
        <w:ind w:firstLine="708"/>
        <w:jc w:val="both"/>
      </w:pPr>
      <w:r w:rsidRPr="00C2175A">
        <w:t xml:space="preserve">11 июля 2019 года был заключен договор № 87/19 с ГКУ СО «УКС Свердловской области» на оказание услуг строительного контроля по объекту «Газопровод к селу </w:t>
      </w:r>
      <w:proofErr w:type="spellStart"/>
      <w:r w:rsidRPr="00C2175A">
        <w:t>Шурала</w:t>
      </w:r>
      <w:proofErr w:type="spellEnd"/>
      <w:r w:rsidRPr="00C2175A">
        <w:t xml:space="preserve"> Невьянского района». Цена договора составляет </w:t>
      </w:r>
      <w:r>
        <w:t xml:space="preserve">                 </w:t>
      </w:r>
      <w:r w:rsidRPr="00C2175A">
        <w:t>99 000 рублей. Сроки начала оказания услуг – с момента заключения договора. Сроки окончания оказания услуг – до 23 декабря 2019 года.</w:t>
      </w:r>
      <w:r w:rsidR="001931A1" w:rsidRPr="001931A1">
        <w:t xml:space="preserve">                                           </w:t>
      </w:r>
      <w:r>
        <w:t xml:space="preserve"> Доля финансирования по бюджетам: областной бюджет - 13 770,40 тыс. руб., местный бюджет - 823,80 тыс. руб. </w:t>
      </w:r>
    </w:p>
    <w:p w:rsidR="009347AB" w:rsidRDefault="009347AB" w:rsidP="009347AB">
      <w:pPr>
        <w:ind w:firstLine="709"/>
        <w:contextualSpacing/>
        <w:jc w:val="both"/>
      </w:pPr>
      <w:r w:rsidRPr="00CC7BFD">
        <w:t xml:space="preserve">По состоянию на 01 сентября 2019 года на объекте «Газопровод к селу </w:t>
      </w:r>
      <w:proofErr w:type="spellStart"/>
      <w:r w:rsidRPr="00CC7BFD">
        <w:t>Шурала</w:t>
      </w:r>
      <w:proofErr w:type="spellEnd"/>
      <w:r w:rsidRPr="00CC7BFD">
        <w:t xml:space="preserve"> Невьянского района» </w:t>
      </w:r>
      <w:r>
        <w:t>работы выполнены на 60 %</w:t>
      </w:r>
      <w:r w:rsidRPr="00CC7BFD">
        <w:t>:</w:t>
      </w:r>
    </w:p>
    <w:p w:rsidR="009347AB" w:rsidRPr="00CC7BFD" w:rsidRDefault="009347AB" w:rsidP="009347AB">
      <w:pPr>
        <w:ind w:firstLine="709"/>
        <w:contextualSpacing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648"/>
        <w:gridCol w:w="4361"/>
      </w:tblGrid>
      <w:tr w:rsidR="009347AB" w:rsidRPr="00CC7BFD" w:rsidTr="005526E4">
        <w:tc>
          <w:tcPr>
            <w:tcW w:w="562" w:type="dxa"/>
          </w:tcPr>
          <w:p w:rsidR="009347AB" w:rsidRPr="00CC7BFD" w:rsidRDefault="009347AB" w:rsidP="005526E4">
            <w:pPr>
              <w:contextualSpacing/>
              <w:jc w:val="both"/>
            </w:pPr>
            <w:r w:rsidRPr="00CC7BFD">
              <w:t>№</w:t>
            </w:r>
          </w:p>
        </w:tc>
        <w:tc>
          <w:tcPr>
            <w:tcW w:w="4678" w:type="dxa"/>
          </w:tcPr>
          <w:p w:rsidR="009347AB" w:rsidRPr="00CC7BFD" w:rsidRDefault="009347AB" w:rsidP="005526E4">
            <w:pPr>
              <w:contextualSpacing/>
              <w:jc w:val="both"/>
            </w:pPr>
            <w:r w:rsidRPr="00CC7BFD">
              <w:t>Вид работ</w:t>
            </w:r>
          </w:p>
        </w:tc>
        <w:tc>
          <w:tcPr>
            <w:tcW w:w="4389" w:type="dxa"/>
          </w:tcPr>
          <w:p w:rsidR="009347AB" w:rsidRPr="00CC7BFD" w:rsidRDefault="009347AB" w:rsidP="005526E4">
            <w:pPr>
              <w:contextualSpacing/>
              <w:jc w:val="both"/>
            </w:pPr>
            <w:r w:rsidRPr="00CC7BFD">
              <w:t>Объем выполненных работ</w:t>
            </w:r>
          </w:p>
        </w:tc>
      </w:tr>
      <w:tr w:rsidR="009347AB" w:rsidRPr="00CC7BFD" w:rsidTr="005526E4">
        <w:tc>
          <w:tcPr>
            <w:tcW w:w="562" w:type="dxa"/>
          </w:tcPr>
          <w:p w:rsidR="009347AB" w:rsidRPr="00CC7BFD" w:rsidRDefault="009347AB" w:rsidP="005526E4">
            <w:pPr>
              <w:contextualSpacing/>
              <w:jc w:val="both"/>
            </w:pPr>
            <w:r w:rsidRPr="00CC7BFD">
              <w:t>1</w:t>
            </w:r>
          </w:p>
        </w:tc>
        <w:tc>
          <w:tcPr>
            <w:tcW w:w="4678" w:type="dxa"/>
          </w:tcPr>
          <w:p w:rsidR="009347AB" w:rsidRPr="00CC7BFD" w:rsidRDefault="009347AB" w:rsidP="005526E4">
            <w:pPr>
              <w:contextualSpacing/>
              <w:jc w:val="both"/>
            </w:pPr>
            <w:r w:rsidRPr="00CC7BFD">
              <w:t>Геодезические работы по разбивке трассы (вынос трассы)</w:t>
            </w:r>
          </w:p>
        </w:tc>
        <w:tc>
          <w:tcPr>
            <w:tcW w:w="4389" w:type="dxa"/>
          </w:tcPr>
          <w:p w:rsidR="009347AB" w:rsidRPr="00CC7BFD" w:rsidRDefault="009347AB" w:rsidP="005526E4">
            <w:pPr>
              <w:contextualSpacing/>
              <w:jc w:val="both"/>
            </w:pPr>
            <w:r w:rsidRPr="00CC7BFD">
              <w:t>Выполнены полностью</w:t>
            </w:r>
          </w:p>
        </w:tc>
      </w:tr>
      <w:tr w:rsidR="009347AB" w:rsidRPr="00CC7BFD" w:rsidTr="005526E4">
        <w:tc>
          <w:tcPr>
            <w:tcW w:w="562" w:type="dxa"/>
          </w:tcPr>
          <w:p w:rsidR="009347AB" w:rsidRPr="00CC7BFD" w:rsidRDefault="009347AB" w:rsidP="005526E4">
            <w:pPr>
              <w:contextualSpacing/>
              <w:jc w:val="both"/>
            </w:pPr>
            <w:r w:rsidRPr="00CC7BFD">
              <w:t>2</w:t>
            </w:r>
          </w:p>
        </w:tc>
        <w:tc>
          <w:tcPr>
            <w:tcW w:w="4678" w:type="dxa"/>
          </w:tcPr>
          <w:p w:rsidR="009347AB" w:rsidRPr="00CC7BFD" w:rsidRDefault="009347AB" w:rsidP="005526E4">
            <w:pPr>
              <w:contextualSpacing/>
              <w:jc w:val="both"/>
            </w:pPr>
            <w:r w:rsidRPr="00CC7BFD">
              <w:t>Расчистка участка от деревьев и кустарников</w:t>
            </w:r>
          </w:p>
        </w:tc>
        <w:tc>
          <w:tcPr>
            <w:tcW w:w="4389" w:type="dxa"/>
          </w:tcPr>
          <w:p w:rsidR="009347AB" w:rsidRPr="00CC7BFD" w:rsidRDefault="009347AB" w:rsidP="005526E4">
            <w:pPr>
              <w:contextualSpacing/>
              <w:jc w:val="both"/>
            </w:pPr>
            <w:r w:rsidRPr="00CC7BFD">
              <w:t>Выполнены полностью</w:t>
            </w:r>
          </w:p>
        </w:tc>
      </w:tr>
      <w:tr w:rsidR="009347AB" w:rsidRPr="00CC7BFD" w:rsidTr="005526E4">
        <w:tc>
          <w:tcPr>
            <w:tcW w:w="562" w:type="dxa"/>
          </w:tcPr>
          <w:p w:rsidR="009347AB" w:rsidRPr="00CC7BFD" w:rsidRDefault="009347AB" w:rsidP="005526E4">
            <w:pPr>
              <w:contextualSpacing/>
              <w:jc w:val="both"/>
            </w:pPr>
            <w:r w:rsidRPr="00CC7BFD">
              <w:t>3</w:t>
            </w:r>
          </w:p>
        </w:tc>
        <w:tc>
          <w:tcPr>
            <w:tcW w:w="4678" w:type="dxa"/>
          </w:tcPr>
          <w:p w:rsidR="009347AB" w:rsidRPr="00CC7BFD" w:rsidRDefault="009347AB" w:rsidP="005526E4">
            <w:pPr>
              <w:contextualSpacing/>
              <w:jc w:val="both"/>
            </w:pPr>
            <w:r w:rsidRPr="00CC7BFD">
              <w:t xml:space="preserve">Прокладка газопровода ПЭ 110*10 от ПК 0+52,7 до ПК 7+56,8 </w:t>
            </w:r>
          </w:p>
        </w:tc>
        <w:tc>
          <w:tcPr>
            <w:tcW w:w="4389" w:type="dxa"/>
          </w:tcPr>
          <w:p w:rsidR="009347AB" w:rsidRPr="00CC7BFD" w:rsidRDefault="009347AB" w:rsidP="005526E4">
            <w:pPr>
              <w:contextualSpacing/>
              <w:jc w:val="both"/>
            </w:pPr>
            <w:r w:rsidRPr="00CC7BFD">
              <w:t>704,1 м</w:t>
            </w:r>
          </w:p>
        </w:tc>
      </w:tr>
      <w:tr w:rsidR="009347AB" w:rsidRPr="00CC7BFD" w:rsidTr="005526E4">
        <w:trPr>
          <w:trHeight w:val="330"/>
        </w:trPr>
        <w:tc>
          <w:tcPr>
            <w:tcW w:w="562" w:type="dxa"/>
          </w:tcPr>
          <w:p w:rsidR="009347AB" w:rsidRPr="00CC7BFD" w:rsidRDefault="009347AB" w:rsidP="005526E4">
            <w:pPr>
              <w:contextualSpacing/>
              <w:jc w:val="both"/>
            </w:pPr>
            <w:r w:rsidRPr="00CC7BFD">
              <w:t>4</w:t>
            </w:r>
          </w:p>
        </w:tc>
        <w:tc>
          <w:tcPr>
            <w:tcW w:w="4678" w:type="dxa"/>
          </w:tcPr>
          <w:p w:rsidR="009347AB" w:rsidRPr="00CC7BFD" w:rsidRDefault="009347AB" w:rsidP="005526E4">
            <w:pPr>
              <w:contextualSpacing/>
              <w:jc w:val="both"/>
            </w:pPr>
            <w:r w:rsidRPr="00CC7BFD">
              <w:t xml:space="preserve">Сварка труб газопровода </w:t>
            </w:r>
            <w:proofErr w:type="spellStart"/>
            <w:r w:rsidRPr="00CC7BFD">
              <w:t>Ст</w:t>
            </w:r>
            <w:proofErr w:type="spellEnd"/>
            <w:r w:rsidRPr="00CC7BFD">
              <w:t xml:space="preserve"> 89*3,5 </w:t>
            </w:r>
          </w:p>
        </w:tc>
        <w:tc>
          <w:tcPr>
            <w:tcW w:w="4389" w:type="dxa"/>
          </w:tcPr>
          <w:p w:rsidR="009347AB" w:rsidRPr="00CC7BFD" w:rsidRDefault="009347AB" w:rsidP="005526E4">
            <w:pPr>
              <w:contextualSpacing/>
              <w:jc w:val="both"/>
            </w:pPr>
            <w:r w:rsidRPr="00CC7BFD">
              <w:t>600 м</w:t>
            </w:r>
          </w:p>
        </w:tc>
      </w:tr>
    </w:tbl>
    <w:p w:rsidR="009347AB" w:rsidRDefault="009347AB" w:rsidP="009347AB">
      <w:pPr>
        <w:jc w:val="both"/>
      </w:pPr>
    </w:p>
    <w:p w:rsidR="009347AB" w:rsidRPr="00776365" w:rsidRDefault="009347AB" w:rsidP="009347AB">
      <w:pPr>
        <w:spacing w:line="48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«</w:t>
      </w:r>
      <w:r w:rsidRPr="00776365">
        <w:rPr>
          <w:b/>
          <w:i/>
          <w:u w:val="single"/>
        </w:rPr>
        <w:t xml:space="preserve">Газоснабжение с. Конево Невьянского района Свердловской области»  </w:t>
      </w:r>
    </w:p>
    <w:p w:rsidR="009347AB" w:rsidRDefault="009347AB" w:rsidP="009347AB">
      <w:pPr>
        <w:ind w:firstLine="708"/>
        <w:jc w:val="both"/>
      </w:pPr>
      <w:r w:rsidRPr="00776365">
        <w:t xml:space="preserve">Проектируемый наружный газопровод предназначен для снабжения природным газом потребителей, находящихся по улицам 40 лет Победы, Октябрьская, 5 Коммунаров, Проезжая, Молодежная, Кирова, Ворошилова, Чапаева, пер. Горького, пер. Октябрьский в </w:t>
      </w:r>
      <w:proofErr w:type="spellStart"/>
      <w:r w:rsidRPr="00776365">
        <w:t>с.Конево</w:t>
      </w:r>
      <w:proofErr w:type="spellEnd"/>
      <w:r w:rsidRPr="00776365">
        <w:t xml:space="preserve">, Невьянского района, Свердловской области. Газопровод высокого и низкого давления запроектирован </w:t>
      </w:r>
      <w:proofErr w:type="spellStart"/>
      <w:r w:rsidRPr="00776365">
        <w:t>подземно</w:t>
      </w:r>
      <w:proofErr w:type="spellEnd"/>
      <w:r w:rsidRPr="00776365">
        <w:t xml:space="preserve"> и </w:t>
      </w:r>
      <w:proofErr w:type="spellStart"/>
      <w:r w:rsidRPr="00776365">
        <w:t>надземно</w:t>
      </w:r>
      <w:proofErr w:type="spellEnd"/>
      <w:r>
        <w:t xml:space="preserve">. </w:t>
      </w:r>
    </w:p>
    <w:p w:rsidR="009347AB" w:rsidRDefault="009347AB" w:rsidP="009347AB">
      <w:pPr>
        <w:ind w:firstLine="708"/>
        <w:jc w:val="both"/>
      </w:pPr>
      <w:r>
        <w:t xml:space="preserve">Проект разработан ГУП СО «Газовые сети» в 2019 году. Между администрацией Невьянского городского округа и Государственном автономном учреждении </w:t>
      </w:r>
      <w:r w:rsidRPr="00662931">
        <w:t>Свердловской области</w:t>
      </w:r>
      <w:r>
        <w:t xml:space="preserve"> </w:t>
      </w:r>
      <w:r w:rsidRPr="00662931">
        <w:t>«Управление государственной экспертизы»</w:t>
      </w:r>
      <w:r w:rsidR="001931A1" w:rsidRPr="001931A1">
        <w:t xml:space="preserve"> </w:t>
      </w:r>
      <w:r w:rsidRPr="0024338A">
        <w:t xml:space="preserve">27 августа 2019, </w:t>
      </w:r>
      <w:r>
        <w:t>заключен договор на проведение государственной экспертизы проекта</w:t>
      </w:r>
      <w:r w:rsidRPr="0024338A">
        <w:t xml:space="preserve"> </w:t>
      </w:r>
      <w:r>
        <w:t>на сумму</w:t>
      </w:r>
      <w:r w:rsidRPr="0024338A">
        <w:t xml:space="preserve"> 904 938,85</w:t>
      </w:r>
      <w:r w:rsidR="006C504C">
        <w:t xml:space="preserve"> </w:t>
      </w:r>
      <w:proofErr w:type="spellStart"/>
      <w:r w:rsidR="006C504C">
        <w:t>руб</w:t>
      </w:r>
      <w:proofErr w:type="spellEnd"/>
      <w:r w:rsidR="006C504C">
        <w:t xml:space="preserve">, оплата по договору произведена </w:t>
      </w:r>
      <w:r w:rsidR="002A4E51">
        <w:t>10.09.2019, срок выполнения работ 35 рабочих дней.</w:t>
      </w:r>
    </w:p>
    <w:p w:rsidR="009347AB" w:rsidRDefault="009347AB" w:rsidP="009347AB">
      <w:pPr>
        <w:jc w:val="both"/>
      </w:pPr>
    </w:p>
    <w:p w:rsidR="009347AB" w:rsidRPr="00E56CD1" w:rsidRDefault="009347AB" w:rsidP="009347AB">
      <w:pPr>
        <w:jc w:val="both"/>
        <w:rPr>
          <w:b/>
          <w:i/>
          <w:u w:val="single"/>
        </w:rPr>
      </w:pPr>
      <w:r w:rsidRPr="00E56CD1">
        <w:rPr>
          <w:b/>
          <w:i/>
          <w:u w:val="single"/>
        </w:rPr>
        <w:t xml:space="preserve">«Газоснабжение с. </w:t>
      </w:r>
      <w:proofErr w:type="spellStart"/>
      <w:r w:rsidRPr="00E56CD1">
        <w:rPr>
          <w:b/>
          <w:i/>
          <w:u w:val="single"/>
        </w:rPr>
        <w:t>Шурала</w:t>
      </w:r>
      <w:proofErr w:type="spellEnd"/>
      <w:r w:rsidRPr="00E56CD1">
        <w:rPr>
          <w:b/>
          <w:i/>
          <w:u w:val="single"/>
        </w:rPr>
        <w:t xml:space="preserve">» </w:t>
      </w:r>
    </w:p>
    <w:p w:rsidR="009347AB" w:rsidRDefault="009347AB" w:rsidP="009347AB">
      <w:pPr>
        <w:jc w:val="both"/>
      </w:pPr>
    </w:p>
    <w:p w:rsidR="009347AB" w:rsidRDefault="009347AB" w:rsidP="009347AB">
      <w:pPr>
        <w:ind w:firstLine="708"/>
        <w:jc w:val="both"/>
      </w:pPr>
      <w:r>
        <w:t xml:space="preserve">Жителями с. </w:t>
      </w:r>
      <w:proofErr w:type="spellStart"/>
      <w:r>
        <w:t>Шурала</w:t>
      </w:r>
      <w:proofErr w:type="spellEnd"/>
      <w:r>
        <w:t xml:space="preserve"> организован кооператив для заключения договора со специализированной организацией по разработке проекта газификации объектов жилищного строительства и объектов социального значения расположенных в с. </w:t>
      </w:r>
      <w:proofErr w:type="spellStart"/>
      <w:r>
        <w:t>Шурала</w:t>
      </w:r>
      <w:proofErr w:type="spellEnd"/>
      <w:r>
        <w:t xml:space="preserve">. </w:t>
      </w:r>
    </w:p>
    <w:p w:rsidR="009347AB" w:rsidRDefault="009347AB" w:rsidP="009347AB">
      <w:pPr>
        <w:ind w:firstLine="708"/>
        <w:jc w:val="both"/>
      </w:pPr>
      <w:r>
        <w:lastRenderedPageBreak/>
        <w:t xml:space="preserve">На сегодняшний день </w:t>
      </w:r>
      <w:r w:rsidR="002565FC">
        <w:t xml:space="preserve">администрацией Невьянского городского округа </w:t>
      </w:r>
      <w:r>
        <w:t xml:space="preserve">направлена заявка в ГУП СО «Газовые сети» на получение технических условий для проектирования. </w:t>
      </w:r>
    </w:p>
    <w:p w:rsidR="009347AB" w:rsidRDefault="009347AB" w:rsidP="009347AB">
      <w:pPr>
        <w:ind w:firstLine="708"/>
        <w:jc w:val="both"/>
      </w:pPr>
    </w:p>
    <w:p w:rsidR="009347AB" w:rsidRPr="00677B13" w:rsidRDefault="009347AB" w:rsidP="009347AB">
      <w:pPr>
        <w:jc w:val="both"/>
        <w:rPr>
          <w:b/>
          <w:i/>
          <w:u w:val="single"/>
        </w:rPr>
      </w:pPr>
      <w:r w:rsidRPr="00677B13">
        <w:rPr>
          <w:b/>
          <w:i/>
          <w:u w:val="single"/>
        </w:rPr>
        <w:t xml:space="preserve">Газоснабжение жилых домов </w:t>
      </w:r>
      <w:r w:rsidR="00276E02">
        <w:rPr>
          <w:b/>
          <w:i/>
          <w:u w:val="single"/>
        </w:rPr>
        <w:t xml:space="preserve">западной части г. </w:t>
      </w:r>
      <w:r w:rsidR="005A34EA">
        <w:rPr>
          <w:b/>
          <w:i/>
          <w:u w:val="single"/>
        </w:rPr>
        <w:t>Невьянска</w:t>
      </w:r>
      <w:r w:rsidR="00276E02">
        <w:rPr>
          <w:b/>
          <w:i/>
          <w:u w:val="single"/>
        </w:rPr>
        <w:t xml:space="preserve"> и </w:t>
      </w:r>
      <w:r w:rsidRPr="00677B13">
        <w:rPr>
          <w:b/>
          <w:i/>
          <w:u w:val="single"/>
        </w:rPr>
        <w:t>улиц</w:t>
      </w:r>
      <w:r w:rsidR="00276E02">
        <w:rPr>
          <w:b/>
          <w:i/>
          <w:u w:val="single"/>
        </w:rPr>
        <w:t>ы</w:t>
      </w:r>
      <w:r w:rsidRPr="00677B13">
        <w:rPr>
          <w:b/>
          <w:i/>
          <w:u w:val="single"/>
        </w:rPr>
        <w:t xml:space="preserve"> Восточной. </w:t>
      </w:r>
    </w:p>
    <w:p w:rsidR="009347AB" w:rsidRDefault="009347AB" w:rsidP="009347AB">
      <w:pPr>
        <w:jc w:val="both"/>
      </w:pPr>
    </w:p>
    <w:p w:rsidR="00276E02" w:rsidRPr="00624232" w:rsidRDefault="00276E02" w:rsidP="00276E02">
      <w:pPr>
        <w:ind w:firstLine="709"/>
        <w:jc w:val="both"/>
        <w:rPr>
          <w:rFonts w:eastAsia="Calibri"/>
          <w:bCs/>
          <w:lang w:eastAsia="en-US"/>
        </w:rPr>
      </w:pPr>
      <w:r w:rsidRPr="00624232">
        <w:rPr>
          <w:rFonts w:eastAsia="Calibri"/>
          <w:bCs/>
          <w:lang w:eastAsia="en-US"/>
        </w:rPr>
        <w:t>С увеличением количества газифицируемых объектов частного сектора (жилые дома) в г. Невьянске возникла ситуация с недостаточным давлением газа в сети газоснабжения, что является основанием для отказа в выдаче технических условий на газоснабжение новых объектов в следующих районах:</w:t>
      </w:r>
    </w:p>
    <w:p w:rsidR="00276E02" w:rsidRPr="00624232" w:rsidRDefault="00276E02" w:rsidP="00276E02">
      <w:pPr>
        <w:ind w:firstLine="709"/>
        <w:jc w:val="both"/>
        <w:rPr>
          <w:rFonts w:eastAsia="Calibri"/>
          <w:bCs/>
          <w:lang w:eastAsia="en-US"/>
        </w:rPr>
      </w:pPr>
      <w:r w:rsidRPr="00624232">
        <w:rPr>
          <w:rFonts w:eastAsia="Calibri"/>
          <w:bCs/>
          <w:lang w:eastAsia="en-US"/>
        </w:rPr>
        <w:t>- по ул. Красноармейская – Мира – Первомайская;</w:t>
      </w:r>
    </w:p>
    <w:p w:rsidR="00276E02" w:rsidRPr="00624232" w:rsidRDefault="00276E02" w:rsidP="00276E02">
      <w:pPr>
        <w:ind w:firstLine="709"/>
        <w:jc w:val="both"/>
        <w:rPr>
          <w:rFonts w:eastAsia="Calibri"/>
          <w:bCs/>
          <w:lang w:eastAsia="en-US"/>
        </w:rPr>
      </w:pPr>
      <w:r w:rsidRPr="00624232">
        <w:rPr>
          <w:rFonts w:eastAsia="Calibri"/>
          <w:bCs/>
          <w:lang w:eastAsia="en-US"/>
        </w:rPr>
        <w:t xml:space="preserve">- ул. </w:t>
      </w:r>
      <w:proofErr w:type="spellStart"/>
      <w:r w:rsidRPr="00624232">
        <w:rPr>
          <w:rFonts w:eastAsia="Calibri"/>
          <w:bCs/>
          <w:lang w:eastAsia="en-US"/>
        </w:rPr>
        <w:t>Ст.Разина</w:t>
      </w:r>
      <w:proofErr w:type="spellEnd"/>
      <w:r w:rsidRPr="00624232">
        <w:rPr>
          <w:rFonts w:eastAsia="Calibri"/>
          <w:bCs/>
          <w:lang w:eastAsia="en-US"/>
        </w:rPr>
        <w:t xml:space="preserve"> – </w:t>
      </w:r>
      <w:proofErr w:type="spellStart"/>
      <w:r w:rsidRPr="00624232">
        <w:rPr>
          <w:rFonts w:eastAsia="Calibri"/>
          <w:bCs/>
          <w:lang w:eastAsia="en-US"/>
        </w:rPr>
        <w:t>Гомзина</w:t>
      </w:r>
      <w:proofErr w:type="spellEnd"/>
      <w:r w:rsidRPr="00624232">
        <w:rPr>
          <w:rFonts w:eastAsia="Calibri"/>
          <w:bCs/>
          <w:lang w:eastAsia="en-US"/>
        </w:rPr>
        <w:t xml:space="preserve"> - </w:t>
      </w:r>
      <w:proofErr w:type="spellStart"/>
      <w:r w:rsidRPr="00624232">
        <w:rPr>
          <w:rFonts w:eastAsia="Calibri"/>
          <w:bCs/>
          <w:lang w:eastAsia="en-US"/>
        </w:rPr>
        <w:t>К.Либкнехта</w:t>
      </w:r>
      <w:proofErr w:type="spellEnd"/>
      <w:r w:rsidRPr="00624232">
        <w:rPr>
          <w:rFonts w:eastAsia="Calibri"/>
          <w:bCs/>
          <w:lang w:eastAsia="en-US"/>
        </w:rPr>
        <w:t>;</w:t>
      </w:r>
    </w:p>
    <w:p w:rsidR="00276E02" w:rsidRPr="00624232" w:rsidRDefault="00276E02" w:rsidP="00276E02">
      <w:pPr>
        <w:ind w:firstLine="709"/>
        <w:jc w:val="both"/>
        <w:rPr>
          <w:rFonts w:eastAsia="Calibri"/>
          <w:bCs/>
          <w:lang w:eastAsia="en-US"/>
        </w:rPr>
      </w:pPr>
      <w:r w:rsidRPr="00624232">
        <w:rPr>
          <w:rFonts w:eastAsia="Calibri"/>
          <w:bCs/>
          <w:lang w:eastAsia="en-US"/>
        </w:rPr>
        <w:t>- ул. Восточная.</w:t>
      </w:r>
    </w:p>
    <w:p w:rsidR="00276E02" w:rsidRDefault="00276E02" w:rsidP="009347AB">
      <w:pPr>
        <w:ind w:firstLine="708"/>
        <w:jc w:val="both"/>
      </w:pPr>
    </w:p>
    <w:p w:rsidR="009347AB" w:rsidRDefault="005A34EA" w:rsidP="009347AB">
      <w:pPr>
        <w:ind w:firstLine="708"/>
        <w:jc w:val="both"/>
      </w:pPr>
      <w:r>
        <w:t>В</w:t>
      </w:r>
      <w:r w:rsidR="009347AB">
        <w:t xml:space="preserve"> 2019 году была проведена корректировка</w:t>
      </w:r>
      <w:r w:rsidR="00EF1CB7">
        <w:t xml:space="preserve"> расчётной</w:t>
      </w:r>
      <w:r w:rsidR="009347AB">
        <w:t xml:space="preserve"> схемы газоснабжения</w:t>
      </w:r>
      <w:r w:rsidR="00EF1CB7">
        <w:t xml:space="preserve"> </w:t>
      </w:r>
      <w:r w:rsidR="009347AB">
        <w:t xml:space="preserve">г. Невьянска. </w:t>
      </w:r>
    </w:p>
    <w:p w:rsidR="009347AB" w:rsidRDefault="009347AB" w:rsidP="009347AB">
      <w:pPr>
        <w:ind w:firstLine="708"/>
        <w:jc w:val="both"/>
      </w:pPr>
      <w:r>
        <w:t xml:space="preserve">В сентябре 2019 года администрацией Невьянского городского округа были получены технические условия за номером 6775 на </w:t>
      </w:r>
      <w:r w:rsidR="002565FC">
        <w:t>«</w:t>
      </w:r>
      <w:proofErr w:type="spellStart"/>
      <w:r w:rsidR="002565FC">
        <w:t>закольцовку</w:t>
      </w:r>
      <w:proofErr w:type="spellEnd"/>
      <w:r w:rsidR="002565FC">
        <w:t xml:space="preserve"> и </w:t>
      </w:r>
      <w:r>
        <w:t xml:space="preserve">строительство сети газораспределения с установкой ГРПШ-85, Невьянского района, Свердловской области». </w:t>
      </w:r>
    </w:p>
    <w:p w:rsidR="009347AB" w:rsidRDefault="00AF6269" w:rsidP="00470ACC">
      <w:pPr>
        <w:ind w:firstLine="708"/>
        <w:jc w:val="both"/>
      </w:pPr>
      <w:r>
        <w:t xml:space="preserve">Администрацией Невьянского городского округа было направлено письмо в адрес </w:t>
      </w:r>
      <w:r w:rsidR="00470ACC" w:rsidRPr="00470ACC">
        <w:t>ГУП СО «Газовые сети»</w:t>
      </w:r>
      <w:r w:rsidR="00470ACC">
        <w:t xml:space="preserve"> </w:t>
      </w:r>
      <w:r w:rsidR="00F44F55">
        <w:t xml:space="preserve">о </w:t>
      </w:r>
      <w:r w:rsidR="00470ACC">
        <w:t>возможност</w:t>
      </w:r>
      <w:r w:rsidR="00F44F55">
        <w:t>и</w:t>
      </w:r>
      <w:r w:rsidR="00470ACC">
        <w:t xml:space="preserve"> предусмотреть в счет средств специальной надбавки к тарифам на услуги по транспортировке газа выполнение проектирования и строительства газопроводов высокого давления и ГРПШ по вышеуказанным улицам. </w:t>
      </w:r>
    </w:p>
    <w:p w:rsidR="00AF6269" w:rsidRDefault="00AF6269" w:rsidP="009347AB">
      <w:pPr>
        <w:jc w:val="both"/>
      </w:pPr>
    </w:p>
    <w:p w:rsidR="00F44F55" w:rsidRDefault="009347AB" w:rsidP="009347AB">
      <w:pPr>
        <w:ind w:firstLine="708"/>
        <w:jc w:val="both"/>
      </w:pPr>
      <w:r>
        <w:t xml:space="preserve">Также направлены заявки </w:t>
      </w:r>
      <w:r w:rsidR="00D654A9">
        <w:t xml:space="preserve">в ГУП СО «Газовые сети» </w:t>
      </w:r>
      <w:r>
        <w:t xml:space="preserve">на получение технических условий на </w:t>
      </w:r>
      <w:proofErr w:type="spellStart"/>
      <w:r>
        <w:t>закольцовку</w:t>
      </w:r>
      <w:proofErr w:type="spellEnd"/>
      <w:r>
        <w:t xml:space="preserve"> и строительство сети газораспределения с установкой ГРПШ, с целью увеличения давления газа для подключения жилых домов, расположенных </w:t>
      </w:r>
      <w:r w:rsidR="00D654A9">
        <w:t>по</w:t>
      </w:r>
      <w:r>
        <w:t xml:space="preserve"> улиц</w:t>
      </w:r>
      <w:r w:rsidR="00D654A9">
        <w:t>ам</w:t>
      </w:r>
      <w:r>
        <w:t xml:space="preserve"> </w:t>
      </w:r>
      <w:proofErr w:type="spellStart"/>
      <w:r w:rsidR="00F603ED">
        <w:t>Шуралинская</w:t>
      </w:r>
      <w:proofErr w:type="spellEnd"/>
      <w:r w:rsidR="00F603ED">
        <w:t xml:space="preserve">, </w:t>
      </w:r>
      <w:r>
        <w:t xml:space="preserve">Кировградская, Мастеровая, Кучина, Заводская. </w:t>
      </w:r>
    </w:p>
    <w:p w:rsidR="00F44F55" w:rsidRDefault="00F44F55" w:rsidP="009347AB">
      <w:pPr>
        <w:ind w:firstLine="708"/>
        <w:jc w:val="both"/>
      </w:pPr>
    </w:p>
    <w:p w:rsidR="0014489A" w:rsidRDefault="00EC69B7" w:rsidP="009347AB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Межпоселковый газопровод 1 категории </w:t>
      </w:r>
    </w:p>
    <w:p w:rsidR="009347AB" w:rsidRDefault="00EC69B7" w:rsidP="009347AB">
      <w:pPr>
        <w:ind w:firstLine="708"/>
        <w:jc w:val="both"/>
      </w:pPr>
      <w:proofErr w:type="spellStart"/>
      <w:r>
        <w:rPr>
          <w:b/>
          <w:i/>
          <w:u w:val="single"/>
        </w:rPr>
        <w:t>с.Быньги</w:t>
      </w:r>
      <w:proofErr w:type="spellEnd"/>
      <w:r w:rsidR="0039379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</w:t>
      </w:r>
      <w:r w:rsidR="00393790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д.В.Таволги</w:t>
      </w:r>
      <w:proofErr w:type="spellEnd"/>
      <w:r w:rsidR="0039379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</w:t>
      </w:r>
      <w:r w:rsidR="00393790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д.Н.Таволги</w:t>
      </w:r>
      <w:proofErr w:type="spellEnd"/>
      <w:r w:rsidR="009347AB">
        <w:t xml:space="preserve">   </w:t>
      </w:r>
    </w:p>
    <w:p w:rsidR="00FE0DB7" w:rsidRDefault="00FE0DB7" w:rsidP="009347AB">
      <w:pPr>
        <w:ind w:firstLine="708"/>
        <w:jc w:val="both"/>
      </w:pPr>
    </w:p>
    <w:p w:rsidR="00FE0DB7" w:rsidRDefault="00B05F1D" w:rsidP="009347AB">
      <w:pPr>
        <w:ind w:firstLine="708"/>
        <w:jc w:val="both"/>
      </w:pPr>
      <w:r>
        <w:t xml:space="preserve">В 2013 ООО ПКБ «КВАНТ» разработана проектно-сметная документация на строительство объекта «Межпоселковый </w:t>
      </w:r>
      <w:r w:rsidR="00EB3D03">
        <w:t xml:space="preserve">газопровод </w:t>
      </w:r>
      <w:r w:rsidR="00300AE8">
        <w:t xml:space="preserve">1 </w:t>
      </w:r>
      <w:r w:rsidR="00EB3D03">
        <w:t xml:space="preserve">категории </w:t>
      </w:r>
      <w:proofErr w:type="spellStart"/>
      <w:r w:rsidR="00EB3D03">
        <w:t>с.Быньги</w:t>
      </w:r>
      <w:proofErr w:type="spellEnd"/>
      <w:r w:rsidR="00EB3D03">
        <w:t xml:space="preserve"> - </w:t>
      </w:r>
      <w:proofErr w:type="spellStart"/>
      <w:r w:rsidR="00EB3D03">
        <w:t>д.В.Таволги</w:t>
      </w:r>
      <w:proofErr w:type="spellEnd"/>
      <w:r w:rsidR="00EB3D03">
        <w:t xml:space="preserve"> - </w:t>
      </w:r>
      <w:proofErr w:type="spellStart"/>
      <w:r w:rsidR="00EB3D03">
        <w:t>д.Н.Таволги</w:t>
      </w:r>
      <w:proofErr w:type="spellEnd"/>
      <w:r w:rsidR="00EB3D03">
        <w:t xml:space="preserve"> Невьянского района Свердловской области»</w:t>
      </w:r>
      <w:r w:rsidR="00641948">
        <w:t xml:space="preserve">, получено положительное заключение </w:t>
      </w:r>
      <w:r w:rsidR="008712A9">
        <w:t>государственной экспертизы от 23.04.2013 № 66-1-5-0213-13/12-0685-1.</w:t>
      </w:r>
    </w:p>
    <w:p w:rsidR="00BF5837" w:rsidRDefault="00BF5837" w:rsidP="009347AB">
      <w:pPr>
        <w:ind w:firstLine="708"/>
        <w:jc w:val="both"/>
      </w:pPr>
      <w:r>
        <w:t>Стоимость реализации проекта в ценах по состоянию на 01.01.2013 составляет 39 152,</w:t>
      </w:r>
      <w:r w:rsidR="00641948">
        <w:t>72 тыс. руб.</w:t>
      </w:r>
    </w:p>
    <w:p w:rsidR="00BA56D5" w:rsidRDefault="00BA56D5" w:rsidP="00BA56D5">
      <w:pPr>
        <w:ind w:firstLine="708"/>
        <w:jc w:val="both"/>
      </w:pPr>
      <w:r>
        <w:t xml:space="preserve">Проектом предусмотрено строительство </w:t>
      </w:r>
      <w:r w:rsidR="006A6B65">
        <w:t>трассы газопровода</w:t>
      </w:r>
      <w:r w:rsidRPr="00BA56D5">
        <w:t xml:space="preserve"> </w:t>
      </w:r>
      <w:r>
        <w:t>общей протяженностью (в плане) 10,651 км со строительство</w:t>
      </w:r>
      <w:r w:rsidR="008D71EE">
        <w:t>м 4 ГРПШ.</w:t>
      </w:r>
    </w:p>
    <w:p w:rsidR="008712A9" w:rsidRDefault="001400F7" w:rsidP="009347AB">
      <w:pPr>
        <w:ind w:firstLine="708"/>
        <w:jc w:val="both"/>
      </w:pPr>
      <w:r>
        <w:lastRenderedPageBreak/>
        <w:t xml:space="preserve">12.12.2018 администрацией Невьянского городского округа получено </w:t>
      </w:r>
      <w:r w:rsidR="00755D6E">
        <w:t>письмо-</w:t>
      </w:r>
      <w:r>
        <w:t xml:space="preserve">разъяснение от ГАУ СО «Управление </w:t>
      </w:r>
      <w:r w:rsidR="001E7F86">
        <w:t>Государственной экспертизы» о</w:t>
      </w:r>
      <w:r w:rsidR="003D525F">
        <w:t xml:space="preserve"> том, что</w:t>
      </w:r>
      <w:r w:rsidR="00755D6E">
        <w:t xml:space="preserve"> </w:t>
      </w:r>
      <w:r w:rsidR="003D525F">
        <w:t xml:space="preserve">решение о </w:t>
      </w:r>
      <w:r w:rsidR="00755D6E">
        <w:t>необходимости проведения повторной экспертизы</w:t>
      </w:r>
      <w:r w:rsidR="003D525F">
        <w:t xml:space="preserve"> </w:t>
      </w:r>
      <w:r w:rsidR="00755D6E">
        <w:t>проектной документации при разделении объекта на пусковые комплексы</w:t>
      </w:r>
      <w:r w:rsidR="006A6B65">
        <w:t xml:space="preserve"> устанавливается заказчиком.</w:t>
      </w:r>
    </w:p>
    <w:p w:rsidR="00EB3D03" w:rsidRDefault="00332DAA" w:rsidP="009347AB">
      <w:pPr>
        <w:ind w:firstLine="708"/>
        <w:jc w:val="both"/>
      </w:pPr>
      <w:r>
        <w:t>03.09.2019 постановлением администрации Невьянского городского округа</w:t>
      </w:r>
      <w:r w:rsidR="001419F6">
        <w:t xml:space="preserve"> за № 1423-п утвержден</w:t>
      </w:r>
      <w:r w:rsidR="00F547E5">
        <w:t>ы</w:t>
      </w:r>
      <w:r w:rsidR="001419F6">
        <w:t xml:space="preserve"> проект планировки и проект межевания территории для линейного объекта «</w:t>
      </w:r>
      <w:r w:rsidR="00710EBF">
        <w:t xml:space="preserve">Межпоселковый газопровод 1 категории  </w:t>
      </w:r>
      <w:r w:rsidR="00710EBF" w:rsidRPr="00710EBF">
        <w:t xml:space="preserve"> </w:t>
      </w:r>
      <w:proofErr w:type="spellStart"/>
      <w:r w:rsidR="00710EBF" w:rsidRPr="00710EBF">
        <w:t>с.Быньги</w:t>
      </w:r>
      <w:proofErr w:type="spellEnd"/>
      <w:r w:rsidR="00710EBF" w:rsidRPr="00710EBF">
        <w:t xml:space="preserve"> - </w:t>
      </w:r>
      <w:proofErr w:type="spellStart"/>
      <w:r w:rsidR="00710EBF" w:rsidRPr="00710EBF">
        <w:t>д.В.Таволги</w:t>
      </w:r>
      <w:proofErr w:type="spellEnd"/>
      <w:r w:rsidR="00710EBF" w:rsidRPr="00710EBF">
        <w:t xml:space="preserve"> - </w:t>
      </w:r>
      <w:proofErr w:type="spellStart"/>
      <w:r w:rsidR="00710EBF" w:rsidRPr="00710EBF">
        <w:t>д.Н.Таволги</w:t>
      </w:r>
      <w:proofErr w:type="spellEnd"/>
      <w:r w:rsidR="00710EBF" w:rsidRPr="00710EBF">
        <w:t xml:space="preserve"> Невьянского района Свердловской области</w:t>
      </w:r>
      <w:r w:rsidR="00710EBF">
        <w:t>»</w:t>
      </w:r>
      <w:r w:rsidR="003A5EEC">
        <w:t>, разработанных градостроительной мастерской «</w:t>
      </w:r>
      <w:proofErr w:type="spellStart"/>
      <w:r w:rsidR="003A5EEC">
        <w:t>ПроГрад</w:t>
      </w:r>
      <w:proofErr w:type="spellEnd"/>
      <w:r w:rsidR="003A5EEC">
        <w:t>».</w:t>
      </w:r>
    </w:p>
    <w:p w:rsidR="003A5EEC" w:rsidRDefault="003A5EEC" w:rsidP="009347AB">
      <w:pPr>
        <w:ind w:firstLine="708"/>
        <w:jc w:val="both"/>
      </w:pPr>
      <w:r>
        <w:t xml:space="preserve">ГАУ СО «Управление автомобильных дорог Свердловской области» </w:t>
      </w:r>
      <w:r w:rsidR="00E655D9">
        <w:t>выданы технические условия №</w:t>
      </w:r>
      <w:r w:rsidR="00524A5E">
        <w:t xml:space="preserve"> 03-7856 от 05.09.2019 </w:t>
      </w:r>
      <w:r w:rsidR="00E655D9">
        <w:t xml:space="preserve"> </w:t>
      </w:r>
      <w:r w:rsidR="00682406">
        <w:t xml:space="preserve">в </w:t>
      </w:r>
      <w:r>
        <w:t xml:space="preserve"> адрес администрации Невьянского городского округа </w:t>
      </w:r>
      <w:r w:rsidR="00524A5E" w:rsidRPr="00524A5E">
        <w:t xml:space="preserve">на строительство объекта «Межпоселковый газопровод категории </w:t>
      </w:r>
      <w:proofErr w:type="spellStart"/>
      <w:r w:rsidR="00524A5E" w:rsidRPr="00524A5E">
        <w:t>с</w:t>
      </w:r>
      <w:proofErr w:type="gramStart"/>
      <w:r w:rsidR="00524A5E" w:rsidRPr="00524A5E">
        <w:t>.Б</w:t>
      </w:r>
      <w:proofErr w:type="gramEnd"/>
      <w:r w:rsidR="00524A5E" w:rsidRPr="00524A5E">
        <w:t>ыньги</w:t>
      </w:r>
      <w:proofErr w:type="spellEnd"/>
      <w:r w:rsidR="00524A5E" w:rsidRPr="00524A5E">
        <w:t xml:space="preserve"> - </w:t>
      </w:r>
      <w:proofErr w:type="spellStart"/>
      <w:r w:rsidR="00524A5E" w:rsidRPr="00524A5E">
        <w:t>д.В.Таволги</w:t>
      </w:r>
      <w:proofErr w:type="spellEnd"/>
      <w:r w:rsidR="00524A5E" w:rsidRPr="00524A5E">
        <w:t xml:space="preserve"> - </w:t>
      </w:r>
      <w:proofErr w:type="spellStart"/>
      <w:r w:rsidR="00524A5E" w:rsidRPr="00524A5E">
        <w:t>д.Н.Таволги</w:t>
      </w:r>
      <w:proofErr w:type="spellEnd"/>
      <w:r w:rsidR="00524A5E" w:rsidRPr="00524A5E">
        <w:t xml:space="preserve"> Невьянского района Свердловской области»</w:t>
      </w:r>
      <w:r w:rsidR="00524A5E">
        <w:t>.</w:t>
      </w:r>
    </w:p>
    <w:p w:rsidR="00E655D9" w:rsidRDefault="002F6671" w:rsidP="009347AB">
      <w:pPr>
        <w:ind w:firstLine="708"/>
        <w:jc w:val="both"/>
      </w:pPr>
      <w:r>
        <w:t>В период октябрь – ноябрь 2019 года планируется направление</w:t>
      </w:r>
      <w:r w:rsidR="0034448E">
        <w:t xml:space="preserve"> запросов на продление технических условий, а также</w:t>
      </w:r>
      <w:r>
        <w:t xml:space="preserve"> </w:t>
      </w:r>
      <w:r w:rsidR="00E96942">
        <w:t xml:space="preserve">направление </w:t>
      </w:r>
      <w:r>
        <w:t xml:space="preserve">проектно-сметной документации </w:t>
      </w:r>
      <w:r w:rsidRPr="002F6671">
        <w:t xml:space="preserve">на строительство объекта «Межпоселковый газопровод </w:t>
      </w:r>
      <w:r w:rsidR="00682406">
        <w:t xml:space="preserve">1 </w:t>
      </w:r>
      <w:r w:rsidRPr="002F6671">
        <w:t xml:space="preserve">категории </w:t>
      </w:r>
      <w:proofErr w:type="spellStart"/>
      <w:r w:rsidRPr="002F6671">
        <w:t>с.Быньги</w:t>
      </w:r>
      <w:proofErr w:type="spellEnd"/>
      <w:r w:rsidRPr="002F6671">
        <w:t xml:space="preserve"> - </w:t>
      </w:r>
      <w:proofErr w:type="spellStart"/>
      <w:r w:rsidRPr="002F6671">
        <w:t>д.В.Таволги</w:t>
      </w:r>
      <w:proofErr w:type="spellEnd"/>
      <w:r w:rsidRPr="002F6671">
        <w:t xml:space="preserve"> - </w:t>
      </w:r>
      <w:proofErr w:type="spellStart"/>
      <w:r w:rsidRPr="002F6671">
        <w:t>д.Н.Таволги</w:t>
      </w:r>
      <w:proofErr w:type="spellEnd"/>
      <w:r w:rsidRPr="002F6671">
        <w:t xml:space="preserve"> Невьянского района Свердловской области»</w:t>
      </w:r>
      <w:r w:rsidR="008D71EE">
        <w:t xml:space="preserve"> для </w:t>
      </w:r>
      <w:r>
        <w:t>согласовани</w:t>
      </w:r>
      <w:r w:rsidR="008D71EE">
        <w:t>я</w:t>
      </w:r>
      <w:r>
        <w:t xml:space="preserve"> с </w:t>
      </w:r>
      <w:proofErr w:type="spellStart"/>
      <w:r>
        <w:t>ресурсоснабжающими</w:t>
      </w:r>
      <w:proofErr w:type="spellEnd"/>
      <w:r>
        <w:t xml:space="preserve"> организациями</w:t>
      </w:r>
      <w:r w:rsidRPr="002F6671">
        <w:t>.</w:t>
      </w:r>
    </w:p>
    <w:p w:rsidR="00710EBF" w:rsidRDefault="00710EBF" w:rsidP="009347AB">
      <w:pPr>
        <w:ind w:firstLine="708"/>
        <w:jc w:val="both"/>
      </w:pPr>
    </w:p>
    <w:p w:rsidR="00EB3D03" w:rsidRDefault="00EB3D03" w:rsidP="009347AB">
      <w:pPr>
        <w:ind w:firstLine="708"/>
        <w:jc w:val="both"/>
      </w:pPr>
    </w:p>
    <w:p w:rsidR="00E31798" w:rsidRDefault="00E31798" w:rsidP="009347AB">
      <w:pPr>
        <w:ind w:firstLine="708"/>
        <w:jc w:val="both"/>
      </w:pPr>
    </w:p>
    <w:p w:rsidR="00F55393" w:rsidRDefault="00F55393" w:rsidP="00F768DA">
      <w:pPr>
        <w:jc w:val="both"/>
      </w:pPr>
      <w:r>
        <w:t xml:space="preserve">Заместитель главы </w:t>
      </w:r>
    </w:p>
    <w:p w:rsidR="00E31798" w:rsidRPr="00F55393" w:rsidRDefault="00F55393" w:rsidP="00F768DA">
      <w:pPr>
        <w:jc w:val="both"/>
      </w:pPr>
      <w:r>
        <w:t>Невьянского городского округа                                                       И.В. Беляков</w:t>
      </w:r>
    </w:p>
    <w:p w:rsidR="009347AB" w:rsidRPr="00AB2232" w:rsidRDefault="009347AB" w:rsidP="009347AB">
      <w:pPr>
        <w:jc w:val="both"/>
      </w:pPr>
      <w:r>
        <w:t xml:space="preserve">   </w:t>
      </w:r>
    </w:p>
    <w:p w:rsidR="009347AB" w:rsidRDefault="009347AB" w:rsidP="00631DEA">
      <w:pPr>
        <w:jc w:val="center"/>
        <w:rPr>
          <w:b/>
          <w:sz w:val="24"/>
          <w:szCs w:val="24"/>
        </w:rPr>
      </w:pPr>
    </w:p>
    <w:p w:rsidR="009347AB" w:rsidRDefault="009347AB" w:rsidP="00631DEA">
      <w:pPr>
        <w:jc w:val="center"/>
        <w:rPr>
          <w:b/>
          <w:sz w:val="24"/>
          <w:szCs w:val="24"/>
        </w:rPr>
      </w:pPr>
    </w:p>
    <w:p w:rsidR="009F226B" w:rsidRDefault="009F226B"/>
    <w:sectPr w:rsidR="009F226B" w:rsidSect="00D63A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48"/>
    <w:rsid w:val="00005781"/>
    <w:rsid w:val="000118D9"/>
    <w:rsid w:val="00020FF8"/>
    <w:rsid w:val="0002470A"/>
    <w:rsid w:val="000764CD"/>
    <w:rsid w:val="00085960"/>
    <w:rsid w:val="00086F5E"/>
    <w:rsid w:val="00096D69"/>
    <w:rsid w:val="000A5FC3"/>
    <w:rsid w:val="000C214C"/>
    <w:rsid w:val="000D5CAC"/>
    <w:rsid w:val="000E0F9B"/>
    <w:rsid w:val="000E217B"/>
    <w:rsid w:val="001108E3"/>
    <w:rsid w:val="00125FAE"/>
    <w:rsid w:val="001374B0"/>
    <w:rsid w:val="001400F7"/>
    <w:rsid w:val="001419F6"/>
    <w:rsid w:val="0014489A"/>
    <w:rsid w:val="00155ED3"/>
    <w:rsid w:val="00173E62"/>
    <w:rsid w:val="001931A1"/>
    <w:rsid w:val="001A3860"/>
    <w:rsid w:val="001A4D4F"/>
    <w:rsid w:val="001E7F86"/>
    <w:rsid w:val="001F1EF1"/>
    <w:rsid w:val="00204B41"/>
    <w:rsid w:val="0023728E"/>
    <w:rsid w:val="00240512"/>
    <w:rsid w:val="00240A2D"/>
    <w:rsid w:val="00247142"/>
    <w:rsid w:val="0025145C"/>
    <w:rsid w:val="002565FC"/>
    <w:rsid w:val="002747F5"/>
    <w:rsid w:val="00276E02"/>
    <w:rsid w:val="00283A72"/>
    <w:rsid w:val="00287815"/>
    <w:rsid w:val="002A4E51"/>
    <w:rsid w:val="002F1D2D"/>
    <w:rsid w:val="002F6671"/>
    <w:rsid w:val="00300AE8"/>
    <w:rsid w:val="00306C57"/>
    <w:rsid w:val="00325E3A"/>
    <w:rsid w:val="00332DAA"/>
    <w:rsid w:val="0034448E"/>
    <w:rsid w:val="003629F8"/>
    <w:rsid w:val="00393790"/>
    <w:rsid w:val="003A5EEC"/>
    <w:rsid w:val="003B4493"/>
    <w:rsid w:val="003D525F"/>
    <w:rsid w:val="003F2926"/>
    <w:rsid w:val="0040231D"/>
    <w:rsid w:val="00421CD7"/>
    <w:rsid w:val="004379BE"/>
    <w:rsid w:val="0044405E"/>
    <w:rsid w:val="004468D1"/>
    <w:rsid w:val="00450E71"/>
    <w:rsid w:val="0045502F"/>
    <w:rsid w:val="004569C2"/>
    <w:rsid w:val="00470ACC"/>
    <w:rsid w:val="00470F69"/>
    <w:rsid w:val="00473929"/>
    <w:rsid w:val="00492E27"/>
    <w:rsid w:val="00497CC7"/>
    <w:rsid w:val="004A51F1"/>
    <w:rsid w:val="004B022C"/>
    <w:rsid w:val="004B6377"/>
    <w:rsid w:val="004D5D5E"/>
    <w:rsid w:val="004E4A9C"/>
    <w:rsid w:val="004F04EC"/>
    <w:rsid w:val="004F1749"/>
    <w:rsid w:val="004F51AF"/>
    <w:rsid w:val="0050754F"/>
    <w:rsid w:val="0051408E"/>
    <w:rsid w:val="00520CD3"/>
    <w:rsid w:val="00524A5E"/>
    <w:rsid w:val="0053198C"/>
    <w:rsid w:val="00534098"/>
    <w:rsid w:val="00537EE2"/>
    <w:rsid w:val="00544766"/>
    <w:rsid w:val="00551C4D"/>
    <w:rsid w:val="00556586"/>
    <w:rsid w:val="005629B4"/>
    <w:rsid w:val="00582960"/>
    <w:rsid w:val="005A34EA"/>
    <w:rsid w:val="005B06A7"/>
    <w:rsid w:val="005C5805"/>
    <w:rsid w:val="005E0BA1"/>
    <w:rsid w:val="006312D1"/>
    <w:rsid w:val="00631DEA"/>
    <w:rsid w:val="006373F1"/>
    <w:rsid w:val="00641948"/>
    <w:rsid w:val="00642184"/>
    <w:rsid w:val="00652312"/>
    <w:rsid w:val="00657F16"/>
    <w:rsid w:val="00660022"/>
    <w:rsid w:val="006622FE"/>
    <w:rsid w:val="00665DE2"/>
    <w:rsid w:val="00670CC3"/>
    <w:rsid w:val="00682406"/>
    <w:rsid w:val="00682FFB"/>
    <w:rsid w:val="006853F0"/>
    <w:rsid w:val="006A25F4"/>
    <w:rsid w:val="006A6B3C"/>
    <w:rsid w:val="006A6B65"/>
    <w:rsid w:val="006A7297"/>
    <w:rsid w:val="006C00A4"/>
    <w:rsid w:val="006C28E9"/>
    <w:rsid w:val="006C504C"/>
    <w:rsid w:val="006D06E3"/>
    <w:rsid w:val="00710EBF"/>
    <w:rsid w:val="00714DD6"/>
    <w:rsid w:val="007200F9"/>
    <w:rsid w:val="00727BE6"/>
    <w:rsid w:val="0075062D"/>
    <w:rsid w:val="00755D6E"/>
    <w:rsid w:val="00775311"/>
    <w:rsid w:val="00782CBE"/>
    <w:rsid w:val="007C4677"/>
    <w:rsid w:val="00805442"/>
    <w:rsid w:val="0083188E"/>
    <w:rsid w:val="00833DBD"/>
    <w:rsid w:val="00850394"/>
    <w:rsid w:val="00851D4D"/>
    <w:rsid w:val="00852885"/>
    <w:rsid w:val="00855F8C"/>
    <w:rsid w:val="0086435C"/>
    <w:rsid w:val="008712A9"/>
    <w:rsid w:val="0087275A"/>
    <w:rsid w:val="00873595"/>
    <w:rsid w:val="008C6FC6"/>
    <w:rsid w:val="008C7E4F"/>
    <w:rsid w:val="008D55D9"/>
    <w:rsid w:val="008D71EE"/>
    <w:rsid w:val="008E26AC"/>
    <w:rsid w:val="0090755A"/>
    <w:rsid w:val="00911343"/>
    <w:rsid w:val="0091134D"/>
    <w:rsid w:val="00922148"/>
    <w:rsid w:val="00930E48"/>
    <w:rsid w:val="009347AB"/>
    <w:rsid w:val="00977416"/>
    <w:rsid w:val="009B1FAA"/>
    <w:rsid w:val="009B6065"/>
    <w:rsid w:val="009F226B"/>
    <w:rsid w:val="009F6C83"/>
    <w:rsid w:val="00A10D6A"/>
    <w:rsid w:val="00A11D42"/>
    <w:rsid w:val="00A16C62"/>
    <w:rsid w:val="00A425D1"/>
    <w:rsid w:val="00A6126D"/>
    <w:rsid w:val="00A65802"/>
    <w:rsid w:val="00A70F50"/>
    <w:rsid w:val="00A92846"/>
    <w:rsid w:val="00AA63E4"/>
    <w:rsid w:val="00AB0825"/>
    <w:rsid w:val="00AD6569"/>
    <w:rsid w:val="00AD66B3"/>
    <w:rsid w:val="00AE2A04"/>
    <w:rsid w:val="00AE5409"/>
    <w:rsid w:val="00AF0264"/>
    <w:rsid w:val="00AF1488"/>
    <w:rsid w:val="00AF6269"/>
    <w:rsid w:val="00B05F1D"/>
    <w:rsid w:val="00B149B9"/>
    <w:rsid w:val="00B714EE"/>
    <w:rsid w:val="00B811B9"/>
    <w:rsid w:val="00B90BC7"/>
    <w:rsid w:val="00B917A6"/>
    <w:rsid w:val="00B95C16"/>
    <w:rsid w:val="00BA56D5"/>
    <w:rsid w:val="00BA59F3"/>
    <w:rsid w:val="00BD7E16"/>
    <w:rsid w:val="00BF36AF"/>
    <w:rsid w:val="00BF5837"/>
    <w:rsid w:val="00C145D7"/>
    <w:rsid w:val="00C40D51"/>
    <w:rsid w:val="00C4150E"/>
    <w:rsid w:val="00C450A1"/>
    <w:rsid w:val="00C718F6"/>
    <w:rsid w:val="00C82085"/>
    <w:rsid w:val="00C9437F"/>
    <w:rsid w:val="00C9442F"/>
    <w:rsid w:val="00C966CD"/>
    <w:rsid w:val="00CB3A43"/>
    <w:rsid w:val="00CC00F0"/>
    <w:rsid w:val="00CC10CF"/>
    <w:rsid w:val="00CD2D4F"/>
    <w:rsid w:val="00CD7EE4"/>
    <w:rsid w:val="00CF2880"/>
    <w:rsid w:val="00D21995"/>
    <w:rsid w:val="00D32FBE"/>
    <w:rsid w:val="00D40645"/>
    <w:rsid w:val="00D416DE"/>
    <w:rsid w:val="00D63A8F"/>
    <w:rsid w:val="00D654A9"/>
    <w:rsid w:val="00D7482B"/>
    <w:rsid w:val="00D75A95"/>
    <w:rsid w:val="00D9375F"/>
    <w:rsid w:val="00DA0133"/>
    <w:rsid w:val="00DD03D8"/>
    <w:rsid w:val="00DD6D77"/>
    <w:rsid w:val="00DF494F"/>
    <w:rsid w:val="00E155C0"/>
    <w:rsid w:val="00E15C9B"/>
    <w:rsid w:val="00E312EA"/>
    <w:rsid w:val="00E31798"/>
    <w:rsid w:val="00E357C5"/>
    <w:rsid w:val="00E655D9"/>
    <w:rsid w:val="00E85B11"/>
    <w:rsid w:val="00E93936"/>
    <w:rsid w:val="00E9676F"/>
    <w:rsid w:val="00E96942"/>
    <w:rsid w:val="00EB3D03"/>
    <w:rsid w:val="00EC0C2C"/>
    <w:rsid w:val="00EC4027"/>
    <w:rsid w:val="00EC69B7"/>
    <w:rsid w:val="00EE6920"/>
    <w:rsid w:val="00EF1CB7"/>
    <w:rsid w:val="00EF3753"/>
    <w:rsid w:val="00F4104D"/>
    <w:rsid w:val="00F44F55"/>
    <w:rsid w:val="00F547E5"/>
    <w:rsid w:val="00F55393"/>
    <w:rsid w:val="00F603ED"/>
    <w:rsid w:val="00F62432"/>
    <w:rsid w:val="00F768DA"/>
    <w:rsid w:val="00F80A3D"/>
    <w:rsid w:val="00F86EF3"/>
    <w:rsid w:val="00F91C42"/>
    <w:rsid w:val="00FB7A8C"/>
    <w:rsid w:val="00FC55AC"/>
    <w:rsid w:val="00FD41F7"/>
    <w:rsid w:val="00FE0DB7"/>
    <w:rsid w:val="00FE2CC5"/>
    <w:rsid w:val="00FE40A0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31DEA"/>
    <w:pPr>
      <w:keepNext/>
      <w:numPr>
        <w:ilvl w:val="1"/>
        <w:numId w:val="1"/>
      </w:numPr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631DEA"/>
    <w:pPr>
      <w:keepNext/>
      <w:numPr>
        <w:ilvl w:val="2"/>
        <w:numId w:val="1"/>
      </w:numPr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D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31DE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631D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31DE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qFormat/>
    <w:rsid w:val="00631DE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E26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6AC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93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31DEA"/>
    <w:pPr>
      <w:keepNext/>
      <w:numPr>
        <w:ilvl w:val="1"/>
        <w:numId w:val="1"/>
      </w:numPr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631DEA"/>
    <w:pPr>
      <w:keepNext/>
      <w:numPr>
        <w:ilvl w:val="2"/>
        <w:numId w:val="1"/>
      </w:numPr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D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31DE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631D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31DE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qFormat/>
    <w:rsid w:val="00631DE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E26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6AC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93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Nadegda A. Alexandrova</cp:lastModifiedBy>
  <cp:revision>7</cp:revision>
  <cp:lastPrinted>2018-03-20T04:26:00Z</cp:lastPrinted>
  <dcterms:created xsi:type="dcterms:W3CDTF">2019-09-13T04:14:00Z</dcterms:created>
  <dcterms:modified xsi:type="dcterms:W3CDTF">2019-09-26T10:46:00Z</dcterms:modified>
</cp:coreProperties>
</file>