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61" w:rsidRDefault="004C4415" w:rsidP="00752661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1pt;margin-top:-27pt;width:72.05pt;height:62.95pt;z-index:251660288">
            <v:imagedata r:id="rId8" o:title=""/>
          </v:shape>
          <o:OLEObject Type="Embed" ProgID="Word.Picture.8" ShapeID="_x0000_s1029" DrawAspect="Content" ObjectID="_1637042773" r:id="rId9"/>
        </w:object>
      </w:r>
    </w:p>
    <w:p w:rsidR="00752661" w:rsidRDefault="00D3671C" w:rsidP="00D3671C">
      <w:pPr>
        <w:tabs>
          <w:tab w:val="left" w:pos="2478"/>
        </w:tabs>
        <w:jc w:val="center"/>
        <w:rPr>
          <w:b/>
          <w:sz w:val="36"/>
          <w:szCs w:val="36"/>
        </w:rPr>
      </w:pPr>
      <w:r w:rsidRPr="00D3671C">
        <w:rPr>
          <w:b/>
          <w:sz w:val="36"/>
          <w:szCs w:val="36"/>
          <w:highlight w:val="yellow"/>
        </w:rPr>
        <w:t xml:space="preserve">Актуальная редакция от </w:t>
      </w:r>
      <w:r w:rsidR="0002106A">
        <w:rPr>
          <w:b/>
          <w:sz w:val="36"/>
          <w:szCs w:val="36"/>
          <w:highlight w:val="green"/>
        </w:rPr>
        <w:t>02</w:t>
      </w:r>
      <w:r w:rsidR="0002106A">
        <w:rPr>
          <w:b/>
          <w:sz w:val="36"/>
          <w:szCs w:val="36"/>
          <w:highlight w:val="yellow"/>
        </w:rPr>
        <w:t>.12</w:t>
      </w:r>
      <w:r w:rsidRPr="00D3671C">
        <w:rPr>
          <w:b/>
          <w:sz w:val="36"/>
          <w:szCs w:val="36"/>
          <w:highlight w:val="yellow"/>
        </w:rPr>
        <w:t>.2019 № 1</w:t>
      </w:r>
      <w:r w:rsidR="0002106A">
        <w:rPr>
          <w:b/>
          <w:sz w:val="36"/>
          <w:szCs w:val="36"/>
          <w:highlight w:val="green"/>
        </w:rPr>
        <w:t>903</w:t>
      </w:r>
      <w:r w:rsidRPr="00D3671C">
        <w:rPr>
          <w:b/>
          <w:sz w:val="36"/>
          <w:szCs w:val="36"/>
          <w:highlight w:val="yellow"/>
        </w:rPr>
        <w:t xml:space="preserve"> -п</w:t>
      </w:r>
    </w:p>
    <w:p w:rsidR="00752661" w:rsidRPr="00752661" w:rsidRDefault="00752661" w:rsidP="00752661">
      <w:pPr>
        <w:tabs>
          <w:tab w:val="left" w:pos="2478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2661">
        <w:rPr>
          <w:rFonts w:ascii="Times New Roman" w:hAnsi="Times New Roman"/>
          <w:b/>
          <w:sz w:val="28"/>
          <w:szCs w:val="28"/>
        </w:rPr>
        <w:t>АДМИНИСТРАЦИЯ  НЕВЬЯНСКОГО  ГОРОДСКОГО ОКРУГА</w:t>
      </w:r>
    </w:p>
    <w:p w:rsidR="00752661" w:rsidRPr="00752661" w:rsidRDefault="00752661" w:rsidP="00752661">
      <w:pPr>
        <w:tabs>
          <w:tab w:val="left" w:pos="247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2661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752661" w:rsidRPr="00752661" w:rsidRDefault="00DE125A" w:rsidP="00752661">
      <w:pPr>
        <w:tabs>
          <w:tab w:val="left" w:pos="24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943600" cy="0"/>
                <wp:effectExtent l="28575" t="29210" r="2857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84E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a+IgIAAEQEAAAOAAAAZHJzL2Uyb0RvYy54bWysU8GO2jAQvVfqP1i5QxI2sBARVlUCvdAW&#10;aeneje0Qax3bsg0BVf33jk2gbHtZVc3BGcczL2/mPc+fTq1AR2YsV7KI0mESISaJolzui+j7djWY&#10;Rsg6LCkWSrIiOjMbPS0+fph3Omcj1ShBmUEAIm3e6SJqnNN5HFvSsBbbodJMwmGtTIsdbM0+pgZ3&#10;gN6KeJQkk7hThmqjCLMWvlaXw2gR8OuaEfetri1zSBQRcHNhNWHd+TVezHG+N1g3nPQ08D+waDGX&#10;8NMbVIUdRgfD/4JqOTHKqtoNiWpjVdecsNADdJMmf3Tz3GDNQi8wHKtvY7L/D5Z8PW4M4hS0i5DE&#10;LUi05pKhzE+m0zaHhFJujO+NnOSzXivyapFUZYPlngWG27OGstRXxG9K/MZqwN91XxSFHHxwKozp&#10;VJsW1YLrF1/owWEU6BR0Od90YSeHCHwcz7KHSQLyketZjHMP4Qu1se4zUy3yQREJYB8A8XFtnaf0&#10;O8WnS7XiQgTZhUQdgD+mYw/dahiCAxu8bpteTKsEpz7dF1qz35XCoCP2VgpP6BhO7tOMOkga4BuG&#10;6bKPHebiEgMdIT0eNAcE++jilR+zZLacLqfZIBtNloMsqarBp1WZDSar9HFcPVRlWaU/fXdpljec&#10;UiY9u6tv0+x9vuhv0MVxN+feBhO/RQ8TBLLXdyAddPbSXkyyU/S8MVf9waohub9W/i7c7yG+v/yL&#10;XwAAAP//AwBQSwMEFAAGAAgAAAAhAEWC28PcAAAACQEAAA8AAABkcnMvZG93bnJldi54bWxMj81O&#10;wzAQhO9IvIO1SNxaJ1Sq2hCnipAQPfETKs7beEki4nWI3Tbw9CxwgOPOjGa/yTeT69WRxtB5NpDO&#10;E1DEtbcdNwZ2z7ezFagQkS32nsnABwXYFOdnOWbWn/iJjlVslJRwyNBAG+OQaR3qlhyGuR+IxXv1&#10;o8Mo59hoO+JJyl2vr5JkqR12LB9aHOimpfqtOjgDVcIPL+Vit13j++NdeZ/68Om3xlxeTOU1qEhT&#10;/AvDN76gQyFMe39gG1RvYJauZEsUY7EEJYH1j7D/FXSR6/8Lii8AAAD//wMAUEsBAi0AFAAGAAgA&#10;AAAhALaDOJL+AAAA4QEAABMAAAAAAAAAAAAAAAAAAAAAAFtDb250ZW50X1R5cGVzXS54bWxQSwEC&#10;LQAUAAYACAAAACEAOP0h/9YAAACUAQAACwAAAAAAAAAAAAAAAAAvAQAAX3JlbHMvLnJlbHNQSwEC&#10;LQAUAAYACAAAACEABafGviICAABEBAAADgAAAAAAAAAAAAAAAAAuAgAAZHJzL2Uyb0RvYy54bWxQ&#10;SwECLQAUAAYACAAAACEARYLbw9wAAAAJ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752661" w:rsidRDefault="00752661" w:rsidP="00752661">
      <w:pPr>
        <w:tabs>
          <w:tab w:val="left" w:pos="2478"/>
        </w:tabs>
        <w:jc w:val="center"/>
        <w:rPr>
          <w:rFonts w:ascii="Times New Roman" w:hAnsi="Times New Roman"/>
          <w:sz w:val="28"/>
          <w:szCs w:val="28"/>
        </w:rPr>
      </w:pPr>
      <w:r w:rsidRPr="00752661">
        <w:rPr>
          <w:rFonts w:ascii="Times New Roman" w:hAnsi="Times New Roman"/>
          <w:sz w:val="28"/>
          <w:szCs w:val="28"/>
        </w:rPr>
        <w:t>г.Невьянск</w:t>
      </w:r>
    </w:p>
    <w:p w:rsidR="00752661" w:rsidRPr="00752661" w:rsidRDefault="00752661" w:rsidP="00752661">
      <w:pPr>
        <w:tabs>
          <w:tab w:val="left" w:pos="2478"/>
        </w:tabs>
        <w:jc w:val="center"/>
        <w:rPr>
          <w:rFonts w:ascii="Times New Roman" w:hAnsi="Times New Roman"/>
          <w:sz w:val="28"/>
          <w:szCs w:val="28"/>
        </w:rPr>
      </w:pPr>
      <w:r w:rsidRPr="00752661">
        <w:rPr>
          <w:rFonts w:ascii="Times New Roman" w:hAnsi="Times New Roman"/>
          <w:sz w:val="28"/>
          <w:szCs w:val="28"/>
        </w:rPr>
        <w:t>От 20.10.2014 г.                                                                                         № 2551-п</w:t>
      </w:r>
    </w:p>
    <w:p w:rsidR="00B02E00" w:rsidRDefault="00B02E00" w:rsidP="00C42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 w:rsidR="00803CE1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C42DDF" w:rsidRDefault="008563FB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r w:rsidR="009257B4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 Невьянском </w:t>
      </w:r>
      <w:r w:rsidR="00C42DDF"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го</w:t>
      </w:r>
      <w:r w:rsid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="00C42DDF"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C42DDF" w:rsidRP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C42DDF" w:rsidRPr="00C42DDF" w:rsidRDefault="00C42DDF" w:rsidP="00C42DDF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C42DDF" w:rsidRPr="00C42DDF" w:rsidRDefault="00C42DDF" w:rsidP="00C42DDF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r w:rsidR="008563FB">
        <w:rPr>
          <w:rFonts w:ascii="Times New Roman" w:hAnsi="Times New Roman"/>
          <w:sz w:val="28"/>
          <w:szCs w:val="28"/>
          <w:lang w:eastAsia="en-US" w:bidi="en-US"/>
        </w:rPr>
        <w:t>в</w:t>
      </w:r>
      <w:r w:rsidR="009257B4">
        <w:rPr>
          <w:rFonts w:ascii="Times New Roman" w:hAnsi="Times New Roman"/>
          <w:sz w:val="28"/>
          <w:szCs w:val="28"/>
          <w:lang w:eastAsia="en-US" w:bidi="en-US"/>
        </w:rPr>
        <w:t xml:space="preserve">   Невьянском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 w:rsidR="00803CE1"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2.1. «Патриотическое воспитание молодежи в Невьянском городском округе», утвержденную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2.2. «Подготовка молодежи Невьянского городского округа к военной службе на 2014-2016 годы» утвержденную постановлением администрации Невьянского городского округа от 26.07.2013г. № 2180-п  «Об утверждении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муниципальной программы «Подготовка молодежи Невьянского городского округа к военной службе на 2014-2016 годы»;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2.3. «Развитие физической культуры и спорта в Невьянском городском округе» на 2011-2015 годы, утвержденную постановлением администрации Невьянского городского округа от 13.07.2011г. № 1798-п 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C42DDF" w:rsidRPr="00C42DDF" w:rsidRDefault="00C42DDF" w:rsidP="00C42D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 w:rsidR="0043490B"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C42DDF" w:rsidRPr="00C42DDF" w:rsidRDefault="00C42DDF" w:rsidP="00C42DDF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C42DDF" w:rsidRPr="00C42DDF" w:rsidRDefault="00C42DDF" w:rsidP="00C42DDF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Глава городского округа                                                                     Е.Т.Каюмов</w:t>
      </w:r>
    </w:p>
    <w:p w:rsidR="00C42DDF" w:rsidRPr="00C42DDF" w:rsidRDefault="00C42DDF" w:rsidP="00C42DDF">
      <w:pPr>
        <w:rPr>
          <w:rFonts w:eastAsia="Calibri"/>
          <w:lang w:eastAsia="en-US"/>
        </w:rPr>
      </w:pPr>
    </w:p>
    <w:p w:rsidR="008F4F1F" w:rsidRDefault="008F4F1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661" w:rsidRDefault="00752661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Pr="00296CE6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03CE1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8F4F1F" w:rsidRPr="008F4F1F" w:rsidTr="00C42DDF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64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r w:rsidR="006414B1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в</w:t>
            </w:r>
            <w:r w:rsidR="009257B4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  Невьянском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8F4F1F" w:rsidRPr="008F4F1F" w:rsidTr="00C42DDF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8F4F1F" w:rsidRPr="008F4F1F" w:rsidTr="00C42DDF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8F4F1F" w:rsidRPr="008F4F1F" w:rsidTr="00C42DDF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C4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1. </w:t>
            </w:r>
            <w:r w:rsidR="00C42DDF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 Невьянского городского округа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7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r w:rsidR="008563F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</w:t>
            </w:r>
            <w:r w:rsidR="0023401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"Патриотическое воспитание  граждан и подготовка молодежи </w:t>
            </w:r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8F4F1F" w:rsidRPr="008F4F1F" w:rsidTr="00652A17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 w:rsidR="00856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="00652A17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 w:rsidR="0023401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C0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спортивной 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направленности.</w:t>
            </w:r>
          </w:p>
        </w:tc>
      </w:tr>
      <w:tr w:rsidR="008F4F1F" w:rsidRPr="008F4F1F" w:rsidTr="00C42DDF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12. 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C0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Обеспеченность спортивными сооружениями  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(спортивные залы)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(плавательные бассейны)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(плоскостные сооружения)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050AF1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 w:rsidR="008F4F1F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314 261,1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8F4F1F" w:rsidRPr="008F4F1F" w:rsidTr="00C42DDF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2015 год - 41 697,4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2016 год - 43 610,2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2017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- 45 790,7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163,9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2015 год - 163,9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8F4F1F" w:rsidRPr="008F4F1F" w:rsidTr="00050AF1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314 097,2 тыс. рублей</w:t>
            </w:r>
          </w:p>
        </w:tc>
      </w:tr>
      <w:tr w:rsidR="008F4F1F" w:rsidRPr="008F4F1F" w:rsidTr="00050AF1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8F4F1F" w:rsidRPr="008F4F1F" w:rsidTr="00050AF1">
        <w:trPr>
          <w:trHeight w:hRule="exact" w:val="2911"/>
        </w:trPr>
        <w:tc>
          <w:tcPr>
            <w:tcW w:w="1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2015 год - 41 533,5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2016 год - 43 610,2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2017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- 45 790,7 тыс. рублей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2DDF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в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42DDF" w:rsidRDefault="004C4415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10" w:history="1"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nevyansk66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961933" w:rsidRPr="00961933" w:rsidRDefault="00961933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8F4F1F" w:rsidRPr="008F4F1F" w:rsidRDefault="008F4F1F" w:rsidP="008F4F1F"/>
    <w:p w:rsidR="008F4F1F" w:rsidRDefault="008F4F1F" w:rsidP="00AB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r w:rsidR="006F4C48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="00C42DDF">
        <w:rPr>
          <w:rFonts w:ascii="Times New Roman" w:hAnsi="Times New Roman"/>
          <w:sz w:val="28"/>
          <w:szCs w:val="28"/>
        </w:rPr>
        <w:t xml:space="preserve">городском округе до </w:t>
      </w:r>
      <w:r>
        <w:rPr>
          <w:rFonts w:ascii="Times New Roman" w:hAnsi="Times New Roman"/>
          <w:sz w:val="28"/>
          <w:szCs w:val="28"/>
        </w:rPr>
        <w:t>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 w:rsidR="00452D73"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1292F" w:rsidRPr="00E0084C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8F4F1F" w:rsidRDefault="008F4F1F" w:rsidP="008F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Pr="00CE198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11292F" w:rsidRPr="00CE1980" w:rsidRDefault="009257B4" w:rsidP="0023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11292F"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округа.Для занятий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11292F"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11292F" w:rsidRPr="00CE1980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 w:rsidR="007B27E8"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11292F" w:rsidRPr="00800B6B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«Уралтрансгаз»,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 w:rsidR="002A0F54"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 w:rsidR="002A0F54"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 w:rsidR="002A0F54"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 w:rsidR="002A0F54">
        <w:rPr>
          <w:rFonts w:ascii="Times New Roman" w:hAnsi="Times New Roman"/>
          <w:sz w:val="28"/>
          <w:szCs w:val="28"/>
        </w:rPr>
        <w:t xml:space="preserve">спортивный зал  села </w:t>
      </w:r>
      <w:r w:rsidRPr="00800B6B">
        <w:rPr>
          <w:rFonts w:ascii="Times New Roman" w:hAnsi="Times New Roman"/>
          <w:sz w:val="28"/>
          <w:szCs w:val="28"/>
        </w:rPr>
        <w:t>Аятское,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300856">
        <w:rPr>
          <w:rFonts w:ascii="Times New Roman" w:hAnsi="Times New Roman"/>
          <w:sz w:val="28"/>
          <w:szCs w:val="28"/>
        </w:rPr>
        <w:t xml:space="preserve">корт по адресу: </w:t>
      </w:r>
      <w:r w:rsidR="00234018">
        <w:rPr>
          <w:rFonts w:ascii="Times New Roman" w:hAnsi="Times New Roman"/>
          <w:sz w:val="28"/>
          <w:szCs w:val="28"/>
        </w:rPr>
        <w:t xml:space="preserve">улица </w:t>
      </w:r>
      <w:r w:rsidR="00300856">
        <w:rPr>
          <w:rFonts w:ascii="Times New Roman" w:hAnsi="Times New Roman"/>
          <w:sz w:val="28"/>
          <w:szCs w:val="28"/>
        </w:rPr>
        <w:t>Ленина</w:t>
      </w:r>
      <w:r w:rsidR="00234018">
        <w:rPr>
          <w:rFonts w:ascii="Times New Roman" w:hAnsi="Times New Roman"/>
          <w:sz w:val="28"/>
          <w:szCs w:val="28"/>
        </w:rPr>
        <w:t>, дом 23</w:t>
      </w:r>
      <w:r w:rsidR="00300856">
        <w:rPr>
          <w:rFonts w:ascii="Times New Roman" w:hAnsi="Times New Roman"/>
          <w:sz w:val="28"/>
          <w:szCs w:val="28"/>
        </w:rPr>
        <w:t xml:space="preserve"> (</w:t>
      </w:r>
      <w:r w:rsidR="005A3F63">
        <w:rPr>
          <w:rFonts w:ascii="Times New Roman" w:hAnsi="Times New Roman"/>
          <w:sz w:val="28"/>
          <w:szCs w:val="28"/>
        </w:rPr>
        <w:t xml:space="preserve">двор </w:t>
      </w:r>
      <w:r w:rsidR="00300856">
        <w:rPr>
          <w:rFonts w:ascii="Times New Roman" w:hAnsi="Times New Roman"/>
          <w:sz w:val="28"/>
          <w:szCs w:val="28"/>
        </w:rPr>
        <w:t>магазин</w:t>
      </w:r>
      <w:r w:rsidR="005A3F63">
        <w:rPr>
          <w:rFonts w:ascii="Times New Roman" w:hAnsi="Times New Roman"/>
          <w:sz w:val="28"/>
          <w:szCs w:val="28"/>
        </w:rPr>
        <w:t xml:space="preserve">а </w:t>
      </w:r>
      <w:r w:rsidR="00300856">
        <w:rPr>
          <w:rFonts w:ascii="Times New Roman" w:hAnsi="Times New Roman"/>
          <w:sz w:val="28"/>
          <w:szCs w:val="28"/>
        </w:rPr>
        <w:t xml:space="preserve"> «Южный»)</w:t>
      </w:r>
      <w:r w:rsidR="008E1C2F">
        <w:rPr>
          <w:rFonts w:ascii="Times New Roman" w:hAnsi="Times New Roman"/>
          <w:sz w:val="28"/>
          <w:szCs w:val="28"/>
        </w:rPr>
        <w:t>.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 w:rsidR="00222016"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11292F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11292F" w:rsidRPr="00A414E6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 w:rsidR="008E1C2F"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 w:rsidR="008E1C2F"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11292F" w:rsidRPr="00E37A5A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r w:rsidR="00DD3016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6EC8">
        <w:rPr>
          <w:rFonts w:ascii="Times New Roman" w:hAnsi="Times New Roman"/>
          <w:sz w:val="28"/>
          <w:szCs w:val="28"/>
        </w:rPr>
        <w:t>плавательными бассейнами (</w:t>
      </w:r>
      <w:r w:rsidRPr="00800B6B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11292F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11292F" w:rsidRPr="00E0084C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92F" w:rsidRPr="00FD7CB9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11292F" w:rsidRPr="00FD7CB9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11292F" w:rsidRPr="00FD7CB9" w:rsidRDefault="0011292F" w:rsidP="008F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11292F" w:rsidRPr="00FD7CB9" w:rsidRDefault="0011292F" w:rsidP="008F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>К 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11292F" w:rsidRPr="00FD7CB9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В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sz w:val="28"/>
          <w:szCs w:val="28"/>
        </w:rPr>
        <w:t>Невьянском городском округе количество безработных молодых людей в возрасте от 18 до 30 лет  составляет 104   чел</w:t>
      </w:r>
      <w:r w:rsidR="003E36B9"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11292F" w:rsidRPr="00FD7CB9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 w:rsidR="003E36B9"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11292F" w:rsidRDefault="0011292F" w:rsidP="0011292F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11292F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11292F" w:rsidRPr="007F286A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 w:rsidR="00B67875"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1292F" w:rsidRPr="007F286A" w:rsidRDefault="0011292F" w:rsidP="0011292F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11292F" w:rsidRPr="007F286A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="0096291B" w:rsidRPr="0096291B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11292F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11292F" w:rsidRPr="00FD7CB9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CE1" w:rsidRDefault="00803CE1" w:rsidP="00E6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Pr="007F286A" w:rsidRDefault="00803CE1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1292F">
        <w:rPr>
          <w:rFonts w:ascii="Times New Roman" w:hAnsi="Times New Roman"/>
          <w:sz w:val="28"/>
          <w:szCs w:val="28"/>
        </w:rPr>
        <w:t xml:space="preserve">2. ЦЕЛИ И ЗАДАЧИ  МУНИЦИПАЛЬНОЙ </w:t>
      </w:r>
      <w:r w:rsidR="0011292F"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803CE1" w:rsidRDefault="0057713B" w:rsidP="0080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2F" w:rsidRPr="007F286A">
        <w:rPr>
          <w:rFonts w:ascii="Times New Roman" w:hAnsi="Times New Roman"/>
          <w:sz w:val="28"/>
          <w:szCs w:val="28"/>
        </w:rPr>
        <w:t>Р</w:t>
      </w:r>
      <w:r w:rsidR="00803CE1"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803CE1" w:rsidRDefault="0011292F" w:rsidP="0080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="0080633A" w:rsidRPr="00284050">
        <w:rPr>
          <w:rFonts w:ascii="Times New Roman" w:hAnsi="Times New Roman"/>
          <w:sz w:val="28"/>
          <w:szCs w:val="28"/>
        </w:rPr>
        <w:t xml:space="preserve"> </w:t>
      </w:r>
      <w:r w:rsidR="00BE2BE2">
        <w:rPr>
          <w:rFonts w:ascii="Times New Roman" w:hAnsi="Times New Roman"/>
          <w:sz w:val="28"/>
          <w:szCs w:val="28"/>
        </w:rPr>
        <w:t>В</w:t>
      </w:r>
    </w:p>
    <w:p w:rsidR="0011292F" w:rsidRDefault="00803CE1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НЕВЬЯНСКОМ  ГОРОДСКОМ ОКРУГЕ  ДО 2021 ГОДА</w:t>
      </w:r>
      <w:r w:rsidR="0011292F">
        <w:rPr>
          <w:rFonts w:ascii="Times New Roman" w:hAnsi="Times New Roman"/>
          <w:sz w:val="28"/>
          <w:szCs w:val="28"/>
        </w:rPr>
        <w:t>»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92F" w:rsidRPr="004C0240" w:rsidRDefault="004C4415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1292F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11292F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3E36B9">
        <w:rPr>
          <w:rFonts w:ascii="Times New Roman" w:hAnsi="Times New Roman"/>
          <w:sz w:val="28"/>
          <w:szCs w:val="28"/>
        </w:rPr>
        <w:t xml:space="preserve">муниципальной </w:t>
      </w:r>
      <w:r w:rsidR="0011292F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43490B">
        <w:rPr>
          <w:rFonts w:ascii="Times New Roman" w:hAnsi="Times New Roman"/>
          <w:sz w:val="28"/>
          <w:szCs w:val="28"/>
        </w:rPr>
        <w:t>№</w:t>
      </w:r>
      <w:r w:rsidR="0011292F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803CE1">
        <w:rPr>
          <w:rFonts w:ascii="Times New Roman" w:hAnsi="Times New Roman"/>
          <w:sz w:val="28"/>
          <w:szCs w:val="28"/>
        </w:rPr>
        <w:t>.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CE1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11292F" w:rsidRPr="004C0240" w:rsidRDefault="0057713B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2F"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>
        <w:rPr>
          <w:rFonts w:ascii="Times New Roman" w:hAnsi="Times New Roman"/>
          <w:sz w:val="28"/>
          <w:szCs w:val="28"/>
        </w:rPr>
        <w:t>ГОРОДСК</w:t>
      </w:r>
      <w:r w:rsidR="00803CE1">
        <w:rPr>
          <w:rFonts w:ascii="Times New Roman" w:hAnsi="Times New Roman"/>
          <w:sz w:val="28"/>
          <w:szCs w:val="28"/>
        </w:rPr>
        <w:t xml:space="preserve">ОМ ОКРУГЕ  ДО </w:t>
      </w:r>
      <w:r>
        <w:rPr>
          <w:rFonts w:ascii="Times New Roman" w:hAnsi="Times New Roman"/>
          <w:sz w:val="28"/>
          <w:szCs w:val="28"/>
        </w:rPr>
        <w:t>2021</w:t>
      </w:r>
      <w:r w:rsidR="00803CE1">
        <w:rPr>
          <w:rFonts w:ascii="Times New Roman" w:hAnsi="Times New Roman"/>
          <w:sz w:val="28"/>
          <w:szCs w:val="28"/>
        </w:rPr>
        <w:t xml:space="preserve">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8F4F1F" w:rsidRDefault="008F4F1F" w:rsidP="008F4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11292F" w:rsidRPr="004C0240" w:rsidRDefault="004C4415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1292F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43490B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11292F" w:rsidRPr="004C0240">
        <w:rPr>
          <w:rFonts w:ascii="Times New Roman" w:hAnsi="Times New Roman"/>
          <w:sz w:val="28"/>
          <w:szCs w:val="28"/>
        </w:rPr>
        <w:t xml:space="preserve"> п</w:t>
      </w:r>
      <w:r w:rsidR="0006503E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11292F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11292F" w:rsidRPr="004C0240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="0011292F"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 w:rsidR="005A3F63">
        <w:rPr>
          <w:rFonts w:ascii="Times New Roman" w:hAnsi="Times New Roman"/>
          <w:sz w:val="28"/>
          <w:szCs w:val="28"/>
        </w:rPr>
        <w:t>.</w:t>
      </w:r>
    </w:p>
    <w:p w:rsidR="0011292F" w:rsidRPr="0085228B" w:rsidRDefault="0043490B" w:rsidP="005A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="0011292F"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="0011292F"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11292F" w:rsidRPr="0085228B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="0011292F"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="0011292F"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11292F" w:rsidRPr="0085228B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</w:t>
      </w:r>
      <w:r w:rsidR="0011292F"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="0011292F"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11292F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 w:rsidR="0043490B"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 w:rsidR="0043490B">
        <w:rPr>
          <w:rFonts w:ascii="Times New Roman" w:hAnsi="Times New Roman"/>
          <w:sz w:val="28"/>
          <w:szCs w:val="28"/>
        </w:rPr>
        <w:t>учреждениям Невьянского</w:t>
      </w:r>
      <w:r w:rsidR="0057713B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713B" w:rsidRPr="0085228B" w:rsidRDefault="0057713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средств</w:t>
      </w:r>
      <w:r w:rsidR="007D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17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803CE1" w:rsidRDefault="00803CE1" w:rsidP="0011292F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3B" w:rsidRDefault="0057713B" w:rsidP="0057713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1292F" w:rsidRPr="00217377" w:rsidRDefault="0011292F" w:rsidP="0011292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11292F" w:rsidRPr="00217377" w:rsidRDefault="0011292F" w:rsidP="0011292F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 w:rsidR="007522ED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 w:rsidR="00A0121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8F4F1F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 w:rsidR="008F4F1F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A0121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5A3F63">
        <w:rPr>
          <w:rFonts w:ascii="Times New Roman" w:hAnsi="Times New Roman" w:cs="Times New Roman"/>
          <w:sz w:val="28"/>
          <w:szCs w:val="28"/>
        </w:rPr>
        <w:t>;</w:t>
      </w:r>
    </w:p>
    <w:p w:rsidR="005A3F63" w:rsidRPr="00381BA5" w:rsidRDefault="005A3F63" w:rsidP="005A3F6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5A3F63" w:rsidRDefault="005A3F63" w:rsidP="005A3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4F1F" w:rsidRDefault="008F4F1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ED" w:rsidRPr="007522ED" w:rsidRDefault="007522ED" w:rsidP="0075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C05311" w:rsidRDefault="007522ED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05311"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C05311" w:rsidRPr="003711E2" w:rsidRDefault="00FF6132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5311"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C05311" w:rsidRPr="00715080" w:rsidRDefault="00C05311" w:rsidP="00C67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</w:t>
            </w:r>
            <w:r w:rsidR="00C67227"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C05311" w:rsidRPr="00474070" w:rsidTr="00C8710C">
        <w:trPr>
          <w:trHeight w:val="1122"/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C05311" w:rsidRPr="00715080" w:rsidRDefault="00C05311" w:rsidP="00C8710C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C05311" w:rsidRPr="00715080" w:rsidRDefault="00C05311" w:rsidP="00C8710C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:rsidR="00C05311" w:rsidRPr="00715080" w:rsidRDefault="00C05311" w:rsidP="00C8710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C05311" w:rsidRPr="00715080" w:rsidRDefault="00C05311" w:rsidP="00C8710C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C05311" w:rsidRPr="00474070" w:rsidTr="00C8710C">
        <w:trPr>
          <w:trHeight w:val="587"/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C05311" w:rsidRPr="00C05311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Общий планируемый объем финансирования подпрограммы составит 15 831,7 тыс. рублей, в том числе:</w:t>
            </w:r>
          </w:p>
          <w:p w:rsidR="00C05311" w:rsidRPr="00C05311" w:rsidRDefault="00C05311" w:rsidP="00C871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из средств областного бюджета – 0,0 руб.</w:t>
            </w:r>
          </w:p>
          <w:p w:rsidR="00C05311" w:rsidRPr="00C05311" w:rsidRDefault="00C05311" w:rsidP="00C871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2015 год - 2 080,0 тыс. руб.   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2016 год - 2 200,2 тыс. руб.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2017 год - 2 310,3 тыс. руб.     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2018 год - 2 310,3 тыс. руб.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2019 год - 2 310,3 тыс. руб.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2020 год - 2 310,3 тыс. руб.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2021 год – 2 310,3 тыс. руб.</w:t>
            </w:r>
          </w:p>
          <w:p w:rsidR="00C05311" w:rsidRPr="00715080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всего за 2015-2021 гг. – 15 831,7 тыс. руб.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C05311" w:rsidRPr="006C0AB8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C05311" w:rsidRPr="0066079F" w:rsidRDefault="00C05311" w:rsidP="00C0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CE1" w:rsidRDefault="00803CE1" w:rsidP="00752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C05311" w:rsidRPr="0066079F" w:rsidRDefault="00C05311" w:rsidP="00C0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C05311" w:rsidRPr="0066079F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C05311" w:rsidRPr="0066079F" w:rsidRDefault="00C05311" w:rsidP="00C0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 w:rsidR="00A01215"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C05311" w:rsidRPr="00AD53BE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C05311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C05311" w:rsidRPr="0066079F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803CE1" w:rsidRDefault="00C05311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522ED" w:rsidRDefault="007522ED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2ED" w:rsidRDefault="007522ED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 w:rsidR="00C67227"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Default="004C4415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05311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C05311" w:rsidRPr="007252B0">
        <w:rPr>
          <w:rFonts w:ascii="Times New Roman" w:hAnsi="Times New Roman"/>
          <w:sz w:val="28"/>
          <w:szCs w:val="28"/>
        </w:rPr>
        <w:t>, зад</w:t>
      </w:r>
      <w:r w:rsidR="00C05311" w:rsidRPr="0085228B">
        <w:rPr>
          <w:rFonts w:ascii="Times New Roman" w:hAnsi="Times New Roman"/>
          <w:sz w:val="28"/>
          <w:szCs w:val="28"/>
        </w:rPr>
        <w:t>ачи и целев</w:t>
      </w:r>
      <w:r w:rsidR="007522ED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C05311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803CE1">
        <w:rPr>
          <w:rFonts w:ascii="Times New Roman" w:hAnsi="Times New Roman"/>
          <w:sz w:val="28"/>
          <w:szCs w:val="28"/>
        </w:rPr>
        <w:t>.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311" w:rsidRPr="00715080" w:rsidRDefault="00C05311" w:rsidP="00C053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 w:rsidR="007522ED">
        <w:rPr>
          <w:rFonts w:ascii="Times New Roman" w:hAnsi="Times New Roman"/>
          <w:sz w:val="28"/>
          <w:szCs w:val="28"/>
        </w:rPr>
        <w:t xml:space="preserve"> представленный в приложении №</w:t>
      </w:r>
      <w:r>
        <w:rPr>
          <w:rFonts w:ascii="Times New Roman" w:hAnsi="Times New Roman"/>
          <w:sz w:val="28"/>
          <w:szCs w:val="28"/>
        </w:rPr>
        <w:t xml:space="preserve"> 2 к муниципальной программе.</w:t>
      </w:r>
    </w:p>
    <w:p w:rsidR="00C05311" w:rsidRPr="00217377" w:rsidRDefault="007522ED" w:rsidP="00C0531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C05311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C05311" w:rsidRPr="00217377" w:rsidRDefault="00C05311" w:rsidP="00C05311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311" w:rsidRPr="008C22D3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10B2B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 w:rsidR="007522ED"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10B2B" w:rsidRPr="00296CE6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10B2B" w:rsidRPr="00296CE6" w:rsidSect="00C42DDF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 w:rsidR="003D6E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660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3D6EC8">
        <w:rPr>
          <w:rFonts w:ascii="Times New Roman" w:hAnsi="Times New Roman" w:cs="Times New Roman"/>
          <w:sz w:val="28"/>
          <w:szCs w:val="28"/>
        </w:rPr>
        <w:t>.</w:t>
      </w:r>
    </w:p>
    <w:p w:rsidR="008B566F" w:rsidRPr="00FB6B45" w:rsidRDefault="008B566F" w:rsidP="00146A31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ПАСПОРТ</w:t>
      </w:r>
    </w:p>
    <w:p w:rsidR="008B566F" w:rsidRDefault="008B566F" w:rsidP="0071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 w:rsidR="00A25003">
        <w:rPr>
          <w:rFonts w:ascii="Times New Roman" w:hAnsi="Times New Roman"/>
          <w:sz w:val="28"/>
          <w:szCs w:val="28"/>
        </w:rPr>
        <w:t xml:space="preserve"> 2.</w:t>
      </w:r>
    </w:p>
    <w:p w:rsidR="008B566F" w:rsidRPr="00562DEC" w:rsidRDefault="00FF6132" w:rsidP="0071508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="008B566F" w:rsidRPr="00562DEC">
        <w:rPr>
          <w:b w:val="0"/>
        </w:rPr>
        <w:t>ПАТРИОТИЧЕСКОЕ ВОСПИТАНИЕ</w:t>
      </w:r>
      <w:r w:rsidR="008B566F">
        <w:rPr>
          <w:b w:val="0"/>
        </w:rPr>
        <w:t xml:space="preserve"> ГРАЖДАН И ПОДГОТОВКА</w:t>
      </w:r>
      <w:r w:rsidR="008B566F" w:rsidRPr="00562DEC">
        <w:rPr>
          <w:b w:val="0"/>
        </w:rPr>
        <w:t xml:space="preserve"> МОЛОДЕЖИ</w:t>
      </w:r>
      <w:r w:rsidR="008774C5">
        <w:rPr>
          <w:b w:val="0"/>
        </w:rPr>
        <w:t xml:space="preserve"> </w:t>
      </w:r>
      <w:r w:rsidR="009257B4">
        <w:rPr>
          <w:b w:val="0"/>
        </w:rPr>
        <w:t xml:space="preserve">В   НЕВЬЯНСКОМ </w:t>
      </w:r>
      <w:r w:rsidR="00B55005">
        <w:rPr>
          <w:b w:val="0"/>
        </w:rPr>
        <w:t xml:space="preserve"> ГОРОДСКОМ ОКРУГЕ</w:t>
      </w:r>
      <w:r w:rsidR="008B566F">
        <w:rPr>
          <w:b w:val="0"/>
        </w:rPr>
        <w:t xml:space="preserve">  К ВОЕННОЙ СЛУЖБЕ</w:t>
      </w:r>
      <w:r>
        <w:rPr>
          <w:b w:val="0"/>
        </w:rPr>
        <w:t>»</w:t>
      </w:r>
      <w:r w:rsidR="00E92DD2">
        <w:rPr>
          <w:b w:val="0"/>
        </w:rPr>
        <w:t xml:space="preserve"> НА 2015 – 2021</w:t>
      </w:r>
      <w:r w:rsidR="008B566F" w:rsidRPr="00562DEC">
        <w:rPr>
          <w:b w:val="0"/>
        </w:rPr>
        <w:t xml:space="preserve"> ГОДЫ</w:t>
      </w:r>
    </w:p>
    <w:p w:rsidR="008B566F" w:rsidRPr="00FB6B45" w:rsidRDefault="00B55005" w:rsidP="00B55005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566F" w:rsidRDefault="008B566F" w:rsidP="00715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8B566F" w:rsidRPr="00474070" w:rsidTr="00B5500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E2" w:rsidRDefault="00FF6132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66F"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 w:rsidR="008B566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 </w:t>
            </w:r>
            <w:r w:rsidR="009257B4">
              <w:rPr>
                <w:rFonts w:ascii="Times New Roman" w:hAnsi="Times New Roman" w:cs="Times New Roman"/>
                <w:sz w:val="28"/>
                <w:szCs w:val="28"/>
              </w:rPr>
              <w:t xml:space="preserve">В   Невьянском </w:t>
            </w:r>
            <w:r w:rsidR="00B550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 xml:space="preserve"> к 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службе»</w:t>
            </w:r>
            <w:r w:rsidR="008B566F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8B566F"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1E2">
              <w:rPr>
                <w:rFonts w:ascii="Times New Roman" w:hAnsi="Times New Roman" w:cs="Times New Roman"/>
                <w:sz w:val="28"/>
                <w:szCs w:val="28"/>
              </w:rPr>
              <w:t xml:space="preserve"> годы      </w:t>
            </w: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474070" w:rsidRDefault="008B566F" w:rsidP="00715080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FF6132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E2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B55005" w:rsidRPr="00FF6132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0C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8B566F" w:rsidRPr="00474070" w:rsidTr="00B55005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B51C7A" w:rsidRDefault="008B566F" w:rsidP="00B51C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B51C7A"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B51C7A"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="00B51C7A"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8B566F" w:rsidRPr="00A63484" w:rsidRDefault="008B566F" w:rsidP="00E92DD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8B566F" w:rsidRPr="0094434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 w:rsidR="006A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B0" w:rsidRPr="00E73640" w:rsidRDefault="007252B0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1515A5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710C">
              <w:rPr>
                <w:rFonts w:ascii="Times New Roman" w:hAnsi="Times New Roman" w:cs="Times New Roman"/>
                <w:sz w:val="28"/>
                <w:szCs w:val="28"/>
              </w:rPr>
              <w:t>5 - 202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8B566F" w:rsidRPr="00474070" w:rsidTr="00B5500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Объем и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B8" w:rsidRDefault="00776D1B" w:rsidP="00F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средст</w:t>
            </w:r>
            <w:r w:rsidR="00A25003">
              <w:rPr>
                <w:rFonts w:ascii="Times New Roman" w:hAnsi="Times New Roman"/>
                <w:sz w:val="28"/>
                <w:szCs w:val="28"/>
              </w:rPr>
              <w:t>в в</w:t>
            </w:r>
            <w:r w:rsidR="002E38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Подпрограмме</w:t>
            </w:r>
            <w:r w:rsidR="009D3B41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748,8</w:t>
            </w:r>
            <w:r w:rsidR="0094220A" w:rsidRPr="009C1EB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3711E2" w:rsidRPr="00474070">
              <w:rPr>
                <w:rFonts w:ascii="Times New Roman" w:hAnsi="Times New Roman"/>
                <w:sz w:val="28"/>
                <w:szCs w:val="28"/>
              </w:rPr>
              <w:t>руб</w:t>
            </w:r>
            <w:r w:rsidR="00A25003">
              <w:rPr>
                <w:rFonts w:ascii="Times New Roman" w:hAnsi="Times New Roman"/>
                <w:sz w:val="28"/>
                <w:szCs w:val="28"/>
              </w:rPr>
              <w:t>.</w:t>
            </w:r>
            <w:r w:rsidR="003711E2">
              <w:rPr>
                <w:rFonts w:ascii="Times New Roman" w:hAnsi="Times New Roman"/>
                <w:sz w:val="28"/>
                <w:szCs w:val="28"/>
              </w:rPr>
              <w:t xml:space="preserve">:     </w:t>
            </w:r>
          </w:p>
          <w:p w:rsidR="00F4183E" w:rsidRPr="00AC3360" w:rsidRDefault="00F4183E" w:rsidP="00F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3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11E2" w:rsidRPr="00F4183E" w:rsidRDefault="00A25003" w:rsidP="00A25003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4183E" w:rsidRPr="00AC3360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 w:rsidR="00E92D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76D1B" w:rsidRPr="00A25003">
              <w:rPr>
                <w:rFonts w:ascii="Times New Roman" w:hAnsi="Times New Roman"/>
                <w:sz w:val="28"/>
                <w:szCs w:val="28"/>
              </w:rPr>
              <w:t>163,9</w:t>
            </w:r>
            <w:r w:rsidR="00E92DD2" w:rsidRPr="00A250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2C85" w:rsidRPr="00A2500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3711E2" w:rsidRPr="00A25003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83E" w:rsidRPr="006C0AB8" w:rsidRDefault="00A25003" w:rsidP="00A25003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2)средств местного бюджета – 7748,8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тыс</w:t>
            </w:r>
            <w:r w:rsidR="0094220A" w:rsidRPr="00A2500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4183E" w:rsidRPr="00A25003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.</w:t>
            </w:r>
            <w:r w:rsidR="00F4183E" w:rsidRPr="00A250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220A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2015 год – 1 180,3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B566F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2016 год – 1 051,0 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4220A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2017 год – 1 103,5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B566F" w:rsidRPr="00A25003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66F" w:rsidRPr="00A25003" w:rsidRDefault="00A25003" w:rsidP="0094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2018 год – 1 103,5 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B566F" w:rsidRPr="00A2500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220A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2019 год – 1 103,5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B566F" w:rsidRPr="00A25003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66F" w:rsidRPr="00A25003" w:rsidRDefault="008B566F" w:rsidP="0094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2020 год -1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 103,5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E92DD2" w:rsidRPr="00A25003">
              <w:rPr>
                <w:rFonts w:ascii="Times New Roman" w:hAnsi="Times New Roman"/>
                <w:sz w:val="28"/>
                <w:szCs w:val="28"/>
              </w:rPr>
              <w:t>.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2DD2" w:rsidRPr="00A25003" w:rsidRDefault="00E92DD2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 103,5</w:t>
            </w:r>
            <w:r w:rsidR="002C4247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6F" w:rsidRPr="00474070" w:rsidRDefault="008B566F" w:rsidP="00F4183E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474070" w:rsidRDefault="006C0AB8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="008B566F"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8B566F" w:rsidRPr="00474070" w:rsidRDefault="008B566F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8B566F" w:rsidRPr="00474070" w:rsidRDefault="008B566F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B8" w:rsidRPr="00474070" w:rsidRDefault="008B566F" w:rsidP="006C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0AB8">
              <w:rPr>
                <w:rFonts w:ascii="Times New Roman" w:hAnsi="Times New Roman"/>
                <w:sz w:val="28"/>
                <w:szCs w:val="28"/>
              </w:rPr>
              <w:t>)  увеличение до 5 процентов молодых граждан, участвующих в мероприяти</w:t>
            </w:r>
            <w:r w:rsidR="00A25003">
              <w:rPr>
                <w:rFonts w:ascii="Times New Roman" w:hAnsi="Times New Roman"/>
                <w:sz w:val="28"/>
                <w:szCs w:val="28"/>
              </w:rPr>
              <w:t>я</w:t>
            </w:r>
            <w:r w:rsidR="006C0AB8">
              <w:rPr>
                <w:rFonts w:ascii="Times New Roman" w:hAnsi="Times New Roman"/>
                <w:sz w:val="28"/>
                <w:szCs w:val="28"/>
              </w:rPr>
              <w:t>х, направленных на поддержку казачества на территории Невьянского городского округа</w:t>
            </w:r>
            <w:r w:rsidR="006A66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6F" w:rsidRPr="00E73640" w:rsidRDefault="008B566F" w:rsidP="006C0A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6F" w:rsidRDefault="008B566F" w:rsidP="00715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B0" w:rsidRDefault="007252B0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67227" w:rsidRDefault="00C67227" w:rsidP="00146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7B7D"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 w:rsidR="00A25003">
        <w:rPr>
          <w:rFonts w:ascii="Times New Roman" w:hAnsi="Times New Roman"/>
          <w:sz w:val="28"/>
          <w:szCs w:val="28"/>
        </w:rPr>
        <w:t xml:space="preserve"> 2.</w:t>
      </w:r>
    </w:p>
    <w:p w:rsidR="00297B7D" w:rsidRDefault="00FF6132" w:rsidP="00146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7D"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 w:rsidR="00C8710C">
        <w:rPr>
          <w:rFonts w:ascii="Times New Roman" w:hAnsi="Times New Roman"/>
          <w:sz w:val="28"/>
          <w:szCs w:val="28"/>
        </w:rPr>
        <w:t xml:space="preserve"> ГОРОДСКОМ ОКРУГЕ</w:t>
      </w:r>
      <w:r w:rsidR="00297B7D"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 w:rsidR="00C8710C">
        <w:rPr>
          <w:rFonts w:ascii="Times New Roman" w:hAnsi="Times New Roman"/>
          <w:sz w:val="28"/>
          <w:szCs w:val="28"/>
        </w:rPr>
        <w:t>»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7252B0">
        <w:rPr>
          <w:rFonts w:ascii="Times New Roman" w:hAnsi="Times New Roman"/>
          <w:sz w:val="28"/>
          <w:szCs w:val="28"/>
        </w:rPr>
        <w:t>НА 2015 –</w:t>
      </w:r>
      <w:r w:rsidR="003711E2">
        <w:rPr>
          <w:rFonts w:ascii="Times New Roman" w:hAnsi="Times New Roman"/>
          <w:sz w:val="28"/>
          <w:szCs w:val="28"/>
        </w:rPr>
        <w:t xml:space="preserve"> 2021</w:t>
      </w:r>
      <w:r w:rsidR="007252B0">
        <w:rPr>
          <w:rFonts w:ascii="Times New Roman" w:hAnsi="Times New Roman"/>
          <w:sz w:val="28"/>
          <w:szCs w:val="28"/>
        </w:rPr>
        <w:t xml:space="preserve"> ГОДЫ</w:t>
      </w:r>
    </w:p>
    <w:p w:rsidR="00297B7D" w:rsidRPr="006B57AE" w:rsidRDefault="00297B7D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6079F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="00297B7D" w:rsidRPr="00297B7D">
        <w:rPr>
          <w:rFonts w:ascii="Times New Roman" w:hAnsi="Times New Roman"/>
          <w:color w:val="181818"/>
          <w:sz w:val="28"/>
          <w:szCs w:val="28"/>
        </w:rPr>
        <w:t xml:space="preserve">   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="003D6EC8">
        <w:rPr>
          <w:rFonts w:ascii="Times New Roman" w:hAnsi="Times New Roman"/>
          <w:sz w:val="28"/>
          <w:szCs w:val="28"/>
        </w:rPr>
        <w:t>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</w:t>
      </w:r>
      <w:r w:rsidR="003D6EC8">
        <w:rPr>
          <w:rFonts w:ascii="Times New Roman" w:hAnsi="Times New Roman"/>
          <w:sz w:val="28"/>
          <w:szCs w:val="28"/>
        </w:rPr>
        <w:t>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</w:t>
      </w:r>
      <w:r w:rsidR="003D6EC8"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 w:rsidR="003D6EC8"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 w:rsidR="003D6EC8"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 w:rsidR="003D6EC8"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 w:rsidR="003D6EC8">
        <w:rPr>
          <w:rFonts w:ascii="Times New Roman" w:hAnsi="Times New Roman"/>
          <w:sz w:val="28"/>
          <w:szCs w:val="28"/>
        </w:rPr>
        <w:t>, областной целевой программой «Молодежь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 w:rsidR="003D6EC8"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 w:rsidR="003D6EC8"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 w:rsidR="003D6EC8"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 w:rsidR="003D6EC8"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297B7D" w:rsidRPr="0066079F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297B7D" w:rsidRPr="0066079F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В целях военно-патриотического воспитания молодежи </w:t>
      </w:r>
      <w:r w:rsidR="009257B4">
        <w:rPr>
          <w:rFonts w:ascii="Times New Roman" w:hAnsi="Times New Roman"/>
          <w:bCs/>
          <w:sz w:val="28"/>
          <w:szCs w:val="28"/>
        </w:rPr>
        <w:t xml:space="preserve">В   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 w:rsidR="003D562C"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="00284050" w:rsidRPr="00284050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50AF1" w:rsidRDefault="00050AF1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 w:rsidR="00C67227"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297B7D" w:rsidRDefault="00297B7D" w:rsidP="0029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66079F" w:rsidRPr="004E0EE8" w:rsidRDefault="0066079F" w:rsidP="0029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03" w:rsidRDefault="004C4415" w:rsidP="00A2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4" w:history="1">
        <w:r w:rsidR="0066079F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66079F" w:rsidRPr="007252B0">
        <w:rPr>
          <w:rFonts w:ascii="Times New Roman" w:hAnsi="Times New Roman"/>
          <w:sz w:val="28"/>
          <w:szCs w:val="28"/>
        </w:rPr>
        <w:t>, задачи и це</w:t>
      </w:r>
      <w:r w:rsidR="00FF6132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146A31">
        <w:rPr>
          <w:rFonts w:ascii="Times New Roman" w:hAnsi="Times New Roman"/>
          <w:sz w:val="28"/>
          <w:szCs w:val="28"/>
        </w:rPr>
        <w:t>под</w:t>
      </w:r>
      <w:r w:rsidR="0066079F" w:rsidRPr="007252B0">
        <w:rPr>
          <w:rFonts w:ascii="Times New Roman" w:hAnsi="Times New Roman"/>
          <w:sz w:val="28"/>
          <w:szCs w:val="28"/>
        </w:rPr>
        <w:t>пр</w:t>
      </w:r>
      <w:r w:rsidR="00FF6132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66079F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C8710C">
        <w:rPr>
          <w:rFonts w:ascii="Times New Roman" w:hAnsi="Times New Roman"/>
          <w:sz w:val="28"/>
          <w:szCs w:val="28"/>
        </w:rPr>
        <w:t>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7B7D" w:rsidRPr="0066079F" w:rsidRDefault="00297B7D" w:rsidP="00A25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66079F" w:rsidRPr="0066079F" w:rsidRDefault="0066079F" w:rsidP="0066079F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8B566F" w:rsidRDefault="00297B7D" w:rsidP="006607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 w:rsidR="00FF6132">
        <w:rPr>
          <w:rFonts w:ascii="Times New Roman" w:hAnsi="Times New Roman"/>
          <w:sz w:val="28"/>
          <w:szCs w:val="28"/>
        </w:rPr>
        <w:t xml:space="preserve"> представленный в приложении №</w:t>
      </w:r>
      <w:r w:rsidR="007252B0">
        <w:rPr>
          <w:rFonts w:ascii="Times New Roman" w:hAnsi="Times New Roman"/>
          <w:sz w:val="28"/>
          <w:szCs w:val="28"/>
        </w:rPr>
        <w:t xml:space="preserve"> 2</w:t>
      </w:r>
      <w:r w:rsidR="0066079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252B0" w:rsidRPr="00217377" w:rsidRDefault="00FF6132" w:rsidP="007252B0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7252B0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7252B0" w:rsidRPr="00217377" w:rsidRDefault="007252B0" w:rsidP="007252B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0" w:rsidRPr="008C22D3" w:rsidRDefault="007252B0" w:rsidP="007252B0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84050" w:rsidRPr="00284050">
        <w:rPr>
          <w:rFonts w:ascii="Times New Roman" w:hAnsi="Times New Roman" w:cs="Times New Roman"/>
          <w:sz w:val="28"/>
          <w:szCs w:val="28"/>
        </w:rPr>
        <w:t xml:space="preserve"> </w:t>
      </w:r>
      <w:r w:rsidR="00146A31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 w:rsidR="00FF6132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6132" w:rsidRPr="00FF6132" w:rsidRDefault="007252B0" w:rsidP="00FF6132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 xml:space="preserve">олодых граждан к </w:t>
      </w:r>
      <w:r w:rsidR="003D6EC8">
        <w:rPr>
          <w:rFonts w:ascii="Times New Roman" w:hAnsi="Times New Roman" w:cs="Times New Roman"/>
          <w:sz w:val="28"/>
          <w:szCs w:val="28"/>
        </w:rPr>
        <w:t>военной службе и другие.</w:t>
      </w:r>
    </w:p>
    <w:p w:rsidR="00146A31" w:rsidRDefault="00146A31" w:rsidP="003D6E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25003" w:rsidRPr="00FC16F4" w:rsidRDefault="00AD065B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3.</w:t>
      </w:r>
      <w:r w:rsidR="00A25003">
        <w:rPr>
          <w:rFonts w:ascii="Times New Roman" w:hAnsi="Times New Roman"/>
          <w:sz w:val="28"/>
          <w:szCs w:val="28"/>
        </w:rPr>
        <w:t xml:space="preserve"> «РАЗВИТИЕ ДОПОЛНИТЕЛЬОГО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</w:t>
      </w:r>
      <w:r w:rsidR="00A25003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A31C7C">
        <w:rPr>
          <w:rFonts w:ascii="Times New Roman" w:hAnsi="Times New Roman"/>
          <w:sz w:val="28"/>
          <w:szCs w:val="28"/>
        </w:rPr>
        <w:t xml:space="preserve">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 w:rsidR="007E14E6"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  <w:szCs w:val="28"/>
        </w:rPr>
        <w:t>»</w:t>
      </w:r>
    </w:p>
    <w:p w:rsidR="00A25003" w:rsidRPr="00FC16F4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792"/>
        <w:gridCol w:w="6267"/>
      </w:tblGrid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AD065B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 w:rsidR="00D71EA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257B4">
              <w:rPr>
                <w:rFonts w:ascii="Times New Roman" w:hAnsi="Times New Roman"/>
                <w:sz w:val="28"/>
                <w:szCs w:val="28"/>
              </w:rPr>
              <w:t xml:space="preserve">   Невьянском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целевых показателей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A25003" w:rsidRPr="00474070" w:rsidTr="00C8710C">
        <w:trPr>
          <w:trHeight w:val="698"/>
        </w:trPr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A25003" w:rsidRPr="00776D1B" w:rsidRDefault="00A25003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="00AD065B" w:rsidRPr="00AD065B">
              <w:rPr>
                <w:rFonts w:ascii="Times New Roman" w:hAnsi="Times New Roman"/>
                <w:sz w:val="28"/>
                <w:szCs w:val="28"/>
              </w:rPr>
              <w:t>172 889,4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тыс. руб. в том числе:</w:t>
            </w:r>
          </w:p>
          <w:p w:rsidR="00A25003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 - 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>22 861,4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25003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 xml:space="preserve">2016 год – 24 004,5 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5003" w:rsidRPr="00AD065B" w:rsidRDefault="00A25003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>2017</w:t>
            </w:r>
            <w:r w:rsidR="00AD065B" w:rsidRPr="00AD065B">
              <w:rPr>
                <w:rFonts w:ascii="Times New Roman" w:hAnsi="Times New Roman"/>
                <w:sz w:val="28"/>
                <w:szCs w:val="28"/>
              </w:rPr>
              <w:t xml:space="preserve"> год – 25 204,7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65B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 xml:space="preserve">2018 год – 25 204,7 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D065B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>2019 год – 25 204,7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AD065B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>2020 год – 25 204,7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25003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 xml:space="preserve">2021 год – 25 204,7 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25003" w:rsidRPr="00474070" w:rsidRDefault="00A25003" w:rsidP="00C87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бюджета.</w:t>
            </w:r>
          </w:p>
        </w:tc>
      </w:tr>
      <w:tr w:rsidR="00A25003" w:rsidRPr="00474070" w:rsidTr="00C8710C">
        <w:trPr>
          <w:trHeight w:val="556"/>
        </w:trPr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занимающихся;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поколению;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</w:p>
        </w:tc>
      </w:tr>
    </w:tbl>
    <w:p w:rsidR="00B418A4" w:rsidRDefault="00B418A4" w:rsidP="00FF61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18A4" w:rsidRDefault="00B418A4" w:rsidP="003D6E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A25003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 w:rsidR="00AD065B"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146A31" w:rsidRDefault="00A25003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 w:rsidR="00AD065B"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A25003" w:rsidRPr="006F7EB0" w:rsidRDefault="009257B4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A25003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A25003" w:rsidRPr="00A414E6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A25003" w:rsidRPr="00A414E6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A25003" w:rsidRPr="00E37A5A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A25003" w:rsidRDefault="00A25003" w:rsidP="00A25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B418A4" w:rsidRDefault="00B418A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B418A4" w:rsidRDefault="00B418A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109D5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 w:rsidR="00AD065B">
        <w:rPr>
          <w:rFonts w:ascii="Times New Roman" w:hAnsi="Times New Roman"/>
          <w:sz w:val="28"/>
        </w:rPr>
        <w:t>. ЦЕЛИ И ЗАДАЧИ ПОДПРОГРАММЫ 3</w:t>
      </w:r>
      <w:r w:rsidR="00B418A4">
        <w:rPr>
          <w:rFonts w:ascii="Times New Roman" w:hAnsi="Times New Roman"/>
          <w:sz w:val="28"/>
        </w:rPr>
        <w:t>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 w:rsidR="00AD065B"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 w:rsidR="00AD065B"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</w:rPr>
        <w:t>»</w:t>
      </w:r>
    </w:p>
    <w:p w:rsidR="00A25003" w:rsidRPr="00FB1812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25003" w:rsidRDefault="004C4415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25003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A25003" w:rsidRPr="00E92DD2">
        <w:rPr>
          <w:rFonts w:ascii="Times New Roman" w:hAnsi="Times New Roman"/>
          <w:sz w:val="28"/>
          <w:szCs w:val="28"/>
        </w:rPr>
        <w:t xml:space="preserve">, </w:t>
      </w:r>
      <w:r w:rsidR="00A25003" w:rsidRPr="0085228B">
        <w:rPr>
          <w:rFonts w:ascii="Times New Roman" w:hAnsi="Times New Roman"/>
          <w:sz w:val="28"/>
          <w:szCs w:val="28"/>
        </w:rPr>
        <w:t>задачи и це</w:t>
      </w:r>
      <w:r w:rsidR="00AB53BE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146A31">
        <w:rPr>
          <w:rFonts w:ascii="Times New Roman" w:hAnsi="Times New Roman"/>
          <w:sz w:val="28"/>
          <w:szCs w:val="28"/>
        </w:rPr>
        <w:t>под</w:t>
      </w:r>
      <w:r w:rsidR="00A25003" w:rsidRPr="0085228B">
        <w:rPr>
          <w:rFonts w:ascii="Times New Roman" w:hAnsi="Times New Roman"/>
          <w:sz w:val="28"/>
          <w:szCs w:val="28"/>
        </w:rPr>
        <w:t>пр</w:t>
      </w:r>
      <w:r w:rsidR="00AB53B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A25003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B418A4">
        <w:rPr>
          <w:rFonts w:ascii="Times New Roman" w:hAnsi="Times New Roman"/>
          <w:sz w:val="28"/>
          <w:szCs w:val="28"/>
        </w:rPr>
        <w:t>.</w:t>
      </w:r>
    </w:p>
    <w:p w:rsidR="00A25003" w:rsidRDefault="00A25003" w:rsidP="00A2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003" w:rsidRPr="00B06F65" w:rsidRDefault="00A25003" w:rsidP="00A2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A4" w:rsidRDefault="00A25003" w:rsidP="00B418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 w:rsidR="00AD065B"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 w:rsidR="00AD065B"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A25003" w:rsidRPr="00A34EB1" w:rsidRDefault="009257B4" w:rsidP="00B418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A25003" w:rsidRPr="00A34EB1">
        <w:rPr>
          <w:rFonts w:ascii="Times New Roman" w:hAnsi="Times New Roman"/>
          <w:sz w:val="28"/>
          <w:szCs w:val="28"/>
        </w:rPr>
        <w:t xml:space="preserve"> </w:t>
      </w:r>
      <w:r w:rsidR="00284050" w:rsidRPr="009257B4">
        <w:rPr>
          <w:rFonts w:ascii="Times New Roman" w:hAnsi="Times New Roman"/>
          <w:sz w:val="28"/>
          <w:szCs w:val="28"/>
        </w:rPr>
        <w:t xml:space="preserve"> </w:t>
      </w:r>
      <w:r w:rsidR="00A25003"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</w:t>
      </w:r>
      <w:r w:rsidR="00AB53BE">
        <w:rPr>
          <w:rFonts w:ascii="Times New Roman" w:hAnsi="Times New Roman"/>
          <w:sz w:val="28"/>
          <w:szCs w:val="28"/>
        </w:rPr>
        <w:t>й, представленный в приложении № 2 к муниципальной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B53BE" w:rsidRDefault="00AB53BE" w:rsidP="00A2500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D065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 w:rsidR="00AD065B"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AD065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 w:rsidR="00AD065B"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A25003" w:rsidRPr="009B386B" w:rsidRDefault="009257B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A25003"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софинансирования мероприятий Программы в форме </w:t>
      </w:r>
      <w:r w:rsidR="007D17C5"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 w:rsidR="007D17C5">
        <w:rPr>
          <w:rFonts w:ascii="Times New Roman" w:hAnsi="Times New Roman"/>
          <w:sz w:val="28"/>
          <w:szCs w:val="28"/>
        </w:rPr>
        <w:t>.</w:t>
      </w:r>
    </w:p>
    <w:p w:rsidR="00AB53BE" w:rsidRDefault="00AB53BE" w:rsidP="00146A3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B53BE" w:rsidRDefault="00AB53BE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C8" w:rsidRDefault="003D6EC8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C8" w:rsidRDefault="003D6EC8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003" w:rsidRPr="00217377" w:rsidRDefault="00AB53BE" w:rsidP="00A2500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A25003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A25003" w:rsidRPr="00217377" w:rsidRDefault="00A25003" w:rsidP="00A25003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03" w:rsidRPr="008C22D3" w:rsidRDefault="00A25003" w:rsidP="00A2500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D17C5">
        <w:rPr>
          <w:rFonts w:ascii="Times New Roman" w:hAnsi="Times New Roman" w:cs="Times New Roman"/>
          <w:sz w:val="28"/>
          <w:szCs w:val="28"/>
        </w:rPr>
        <w:t xml:space="preserve"> </w:t>
      </w:r>
      <w:r w:rsidR="00AB53BE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 w:rsidR="00AB53BE"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A25003" w:rsidRPr="008C22D3" w:rsidRDefault="00A25003" w:rsidP="00A2500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A25003" w:rsidRDefault="00A25003" w:rsidP="00AB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9D3B41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="00705E86">
        <w:rPr>
          <w:rFonts w:ascii="Times New Roman" w:hAnsi="Times New Roman"/>
          <w:sz w:val="28"/>
          <w:szCs w:val="28"/>
        </w:rPr>
        <w:t xml:space="preserve"> городском округе</w:t>
      </w:r>
      <w:r w:rsidR="003D6EC8">
        <w:rPr>
          <w:rFonts w:ascii="Times New Roman" w:hAnsi="Times New Roman"/>
          <w:sz w:val="28"/>
          <w:szCs w:val="28"/>
        </w:rPr>
        <w:t xml:space="preserve"> и другие</w:t>
      </w:r>
      <w:r w:rsidR="00705E86">
        <w:rPr>
          <w:rFonts w:ascii="Times New Roman" w:hAnsi="Times New Roman"/>
          <w:sz w:val="28"/>
          <w:szCs w:val="28"/>
        </w:rPr>
        <w:t xml:space="preserve"> субсидии</w:t>
      </w:r>
      <w:r w:rsidR="003D6EC8">
        <w:rPr>
          <w:rFonts w:ascii="Times New Roman" w:hAnsi="Times New Roman"/>
          <w:sz w:val="28"/>
          <w:szCs w:val="28"/>
        </w:rPr>
        <w:t>.</w:t>
      </w:r>
    </w:p>
    <w:p w:rsidR="00AB53BE" w:rsidRDefault="00AB53BE" w:rsidP="00AB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BE" w:rsidRDefault="00AB53BE" w:rsidP="00AB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05311" w:rsidRPr="008F4F1F" w:rsidRDefault="00AB53BE" w:rsidP="00AB53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="00C05311" w:rsidRPr="008F4F1F">
        <w:rPr>
          <w:rFonts w:ascii="Times New Roman" w:hAnsi="Times New Roman"/>
          <w:sz w:val="28"/>
          <w:szCs w:val="28"/>
        </w:rPr>
        <w:t>СПОРТ</w:t>
      </w:r>
    </w:p>
    <w:p w:rsidR="00C05311" w:rsidRPr="008F4F1F" w:rsidRDefault="00AD065B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="00C05311"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 w:rsidRPr="008F4F1F">
        <w:rPr>
          <w:rFonts w:ascii="Times New Roman" w:hAnsi="Times New Roman"/>
          <w:sz w:val="28"/>
          <w:szCs w:val="28"/>
        </w:rPr>
        <w:t>СПОРТА</w:t>
      </w:r>
    </w:p>
    <w:p w:rsidR="00C05311" w:rsidRDefault="00AD065B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="00C05311" w:rsidRPr="008F4F1F">
        <w:rPr>
          <w:rFonts w:ascii="Times New Roman" w:hAnsi="Times New Roman"/>
          <w:sz w:val="28"/>
          <w:szCs w:val="28"/>
        </w:rPr>
        <w:t>»</w:t>
      </w:r>
    </w:p>
    <w:p w:rsidR="00C05311" w:rsidRPr="007A30F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 1. 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привлечение населения Невьянского городского округа к здоровому образу жизни;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 w:rsidR="005464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C05311" w:rsidRPr="00474070" w:rsidRDefault="00C05311" w:rsidP="0054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4) количество медалей, завоеванных спортсменами Невьянского городского округана официальных областных и российских  </w:t>
            </w:r>
            <w:r w:rsidR="0054644D"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r w:rsidR="000A2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 xml:space="preserve"> 117 791,2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15 575,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2016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85A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>16 354,</w:t>
            </w:r>
            <w:r w:rsidR="00B85A99">
              <w:rPr>
                <w:rFonts w:ascii="Times New Roman" w:hAnsi="Times New Roman"/>
                <w:sz w:val="28"/>
                <w:szCs w:val="28"/>
              </w:rPr>
              <w:t>5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- 17 172,2 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- 17 172,2 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- 17 172,2 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- 17 172,2 тыс. руб.;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- 17 172,2 тыс. руб.</w:t>
            </w:r>
          </w:p>
          <w:p w:rsidR="00C05311" w:rsidRPr="00776D1B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областной бюджет:  тыс. рублей,</w:t>
            </w:r>
          </w:p>
          <w:p w:rsidR="00C05311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 - 0,0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 xml:space="preserve">Местный  бюджет: тыс. рублей - 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>117 791,2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B85A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15 575,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16 354,</w:t>
            </w:r>
            <w:r>
              <w:rPr>
                <w:rFonts w:ascii="Times New Roman" w:hAnsi="Times New Roman"/>
                <w:sz w:val="28"/>
                <w:szCs w:val="28"/>
              </w:rPr>
              <w:t>5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- 17 172,2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- 17 172,2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- 17 172,2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- 17 172,2 тыс. руб.;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- 17 172,2 тыс. руб.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внебюджетные источники:  тыс. рублей,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05311" w:rsidRDefault="00C05311" w:rsidP="00C0531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B53BE" w:rsidRDefault="00AB53BE" w:rsidP="00C0531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05311" w:rsidRPr="00B85A99" w:rsidRDefault="00C05311" w:rsidP="00AB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 w:rsidR="00B85A99">
        <w:rPr>
          <w:rFonts w:ascii="Times New Roman" w:hAnsi="Times New Roman"/>
          <w:sz w:val="28"/>
          <w:szCs w:val="28"/>
        </w:rPr>
        <w:t>Я СФЕРЫ</w:t>
      </w:r>
      <w:r w:rsidR="00D71EA3">
        <w:rPr>
          <w:rFonts w:ascii="Times New Roman" w:hAnsi="Times New Roman"/>
          <w:sz w:val="28"/>
          <w:szCs w:val="28"/>
        </w:rPr>
        <w:t xml:space="preserve"> </w:t>
      </w:r>
      <w:r w:rsidR="00B85A99">
        <w:rPr>
          <w:rFonts w:ascii="Times New Roman" w:hAnsi="Times New Roman"/>
          <w:sz w:val="28"/>
          <w:szCs w:val="28"/>
        </w:rPr>
        <w:t>РЕАЛИЗАЦИИ ПОДПРОГРАММЫ 4.</w:t>
      </w:r>
    </w:p>
    <w:p w:rsidR="00C05311" w:rsidRPr="0061212C" w:rsidRDefault="00AB53BE" w:rsidP="00B85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5A99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 w:rsidRPr="0061212C">
        <w:rPr>
          <w:rFonts w:ascii="Times New Roman" w:hAnsi="Times New Roman"/>
          <w:sz w:val="28"/>
          <w:szCs w:val="28"/>
        </w:rPr>
        <w:t>СПОРТА</w:t>
      </w:r>
      <w:r w:rsidR="00B85A99"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61212C" w:rsidRDefault="009257B4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C05311"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 w:rsidR="009118D7"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9118D7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 w:rsidR="003D6EC8"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участников),мероприятие с массовым пребыванием  лю</w:t>
      </w:r>
      <w:r w:rsidR="003D6EC8"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 w:rsidR="000A21C3"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округа.Ежегодно в феврале месяце проводится турнир по баскетболу памяти погибших воинов в Афганистане и Чечне.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Ежегодно проводятся комплексные мероприятия приуроченные к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 w:rsidR="009118D7">
        <w:rPr>
          <w:rFonts w:ascii="Times New Roman" w:hAnsi="Times New Roman"/>
          <w:sz w:val="28"/>
          <w:szCs w:val="28"/>
        </w:rPr>
        <w:t xml:space="preserve">баскетболу, теннису, по игре дартс,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 w:rsidR="000A21C3"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детейнуждающихся в особой заботе государства, спартакиада среди детей инвалидов, сельская зимняя и летняя спартакиады.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r w:rsidR="007D17C5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 w:rsidR="000A21C3"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0A21C3" w:rsidRPr="00800B6B" w:rsidRDefault="00C05311" w:rsidP="000A2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спортом Невьянский городской округ располагает следующей материально-спортивной базой: имеется спорткомплекс «Старт» ООО «Уралтрансгаз»,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приспособленныхспортивных сооружений (водная станция, ангар ОВД, </w:t>
      </w:r>
      <w:r w:rsidR="000A21C3"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 w:rsidR="000A21C3"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 w:rsidR="000A21C3"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="000A21C3" w:rsidRPr="00800B6B">
        <w:rPr>
          <w:rFonts w:ascii="Times New Roman" w:hAnsi="Times New Roman"/>
          <w:sz w:val="28"/>
          <w:szCs w:val="28"/>
        </w:rPr>
        <w:t xml:space="preserve">Ребристый, </w:t>
      </w:r>
      <w:r w:rsidR="000A21C3">
        <w:rPr>
          <w:rFonts w:ascii="Times New Roman" w:hAnsi="Times New Roman"/>
          <w:sz w:val="28"/>
          <w:szCs w:val="28"/>
        </w:rPr>
        <w:t xml:space="preserve">спортивный зал  села  </w:t>
      </w:r>
      <w:r w:rsidR="000A21C3" w:rsidRPr="00800B6B">
        <w:rPr>
          <w:rFonts w:ascii="Times New Roman" w:hAnsi="Times New Roman"/>
          <w:sz w:val="28"/>
          <w:szCs w:val="28"/>
        </w:rPr>
        <w:t>Аятское,</w:t>
      </w:r>
      <w:r w:rsidR="00D71EA3">
        <w:rPr>
          <w:rFonts w:ascii="Times New Roman" w:hAnsi="Times New Roman"/>
          <w:sz w:val="28"/>
          <w:szCs w:val="28"/>
        </w:rPr>
        <w:t xml:space="preserve"> </w:t>
      </w:r>
      <w:r w:rsidR="000A21C3">
        <w:rPr>
          <w:rFonts w:ascii="Times New Roman" w:hAnsi="Times New Roman"/>
          <w:sz w:val="28"/>
          <w:szCs w:val="28"/>
        </w:rPr>
        <w:t>корт  по адресу: Ленина 23 (магазин «Южный»).</w:t>
      </w:r>
    </w:p>
    <w:p w:rsidR="00C05311" w:rsidRPr="0061212C" w:rsidRDefault="009257B4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C05311"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Хотя в настоящее время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7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 населения, к 2020 году - 40 процентов.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r w:rsidR="007D17C5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8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 w:rsidR="00D71EA3">
        <w:rPr>
          <w:rFonts w:ascii="Times New Roman" w:hAnsi="Times New Roman"/>
          <w:sz w:val="28"/>
          <w:szCs w:val="28"/>
        </w:rPr>
        <w:t xml:space="preserve"> 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 w:rsidR="007E14E6"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 w:rsidR="007E14E6"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3BE">
        <w:rPr>
          <w:rFonts w:ascii="Times New Roman" w:hAnsi="Times New Roman"/>
          <w:sz w:val="28"/>
          <w:szCs w:val="28"/>
        </w:rPr>
        <w:t>плавательными бассейнами (</w:t>
      </w:r>
      <w:r w:rsidRPr="0061212C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2) недостаточное соответствие уровня инфраструктуры современнымзадачам развития физической культуры и спорта </w:t>
      </w:r>
      <w:r w:rsidR="00EA735D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>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9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 w:rsidR="003D6EC8"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восстановления,что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 w:rsidR="00442B5D"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 w:rsidR="00442B5D"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 w:rsidR="002B67FA"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 w:rsidR="002B67FA"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 w:rsidR="003D6EC8"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 w:rsidR="00442B5D"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 w:rsidR="002B67FA"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 w:rsidR="002B67FA"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 w:rsidR="002B67FA"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округ</w:t>
      </w:r>
      <w:r w:rsidR="002B67FA">
        <w:rPr>
          <w:rFonts w:ascii="Times New Roman" w:hAnsi="Times New Roman"/>
          <w:sz w:val="28"/>
          <w:szCs w:val="28"/>
        </w:rPr>
        <w:t>а</w:t>
      </w:r>
      <w:r w:rsidR="003D6EC8">
        <w:rPr>
          <w:rFonts w:ascii="Times New Roman" w:hAnsi="Times New Roman"/>
          <w:sz w:val="28"/>
          <w:szCs w:val="28"/>
        </w:rPr>
        <w:t>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 w:rsidR="002B67FA"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r w:rsidR="00A95EFA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="002B67FA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B418A4" w:rsidRDefault="00B418A4" w:rsidP="00AB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18A4" w:rsidRDefault="00B418A4" w:rsidP="00B41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Pr="007F286A" w:rsidRDefault="00C05311" w:rsidP="00B41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</w:t>
      </w:r>
      <w:r w:rsidR="00B418A4">
        <w:rPr>
          <w:rFonts w:ascii="Times New Roman" w:hAnsi="Times New Roman"/>
          <w:sz w:val="28"/>
          <w:szCs w:val="28"/>
        </w:rPr>
        <w:t>ЕЛИ И ЗАДАЧИ  ПОДПРОГРАММЫ 4.</w:t>
      </w:r>
    </w:p>
    <w:p w:rsidR="00C05311" w:rsidRDefault="00AB53BE" w:rsidP="00B4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5A99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>
        <w:rPr>
          <w:rFonts w:ascii="Times New Roman" w:hAnsi="Times New Roman"/>
          <w:sz w:val="28"/>
          <w:szCs w:val="28"/>
        </w:rPr>
        <w:t>СПОРТА</w:t>
      </w:r>
      <w:r w:rsidR="00B85A99">
        <w:rPr>
          <w:rFonts w:ascii="Times New Roman" w:hAnsi="Times New Roman"/>
          <w:sz w:val="28"/>
          <w:szCs w:val="28"/>
        </w:rPr>
        <w:t xml:space="preserve"> НА ТЕРРИТОРИИ  НЕВЬЯНСКОГО ГОРОДСКОГО ОКРУГА»</w:t>
      </w:r>
    </w:p>
    <w:p w:rsidR="00C05311" w:rsidRDefault="00C05311" w:rsidP="00B4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85228B" w:rsidRDefault="004C4415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C05311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C05311" w:rsidRPr="00E92DD2">
        <w:rPr>
          <w:rFonts w:ascii="Times New Roman" w:hAnsi="Times New Roman"/>
          <w:sz w:val="28"/>
          <w:szCs w:val="28"/>
        </w:rPr>
        <w:t>, зада</w:t>
      </w:r>
      <w:r w:rsidR="00C05311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3D6EC8">
        <w:rPr>
          <w:rFonts w:ascii="Times New Roman" w:hAnsi="Times New Roman"/>
          <w:sz w:val="28"/>
          <w:szCs w:val="28"/>
        </w:rPr>
        <w:t>муниципальной</w:t>
      </w:r>
      <w:r w:rsidR="00673841">
        <w:rPr>
          <w:rFonts w:ascii="Times New Roman" w:hAnsi="Times New Roman"/>
          <w:sz w:val="28"/>
          <w:szCs w:val="28"/>
        </w:rPr>
        <w:t>п</w:t>
      </w:r>
      <w:r w:rsidR="003D6EC8">
        <w:rPr>
          <w:rFonts w:ascii="Times New Roman" w:hAnsi="Times New Roman"/>
          <w:sz w:val="28"/>
          <w:szCs w:val="28"/>
        </w:rPr>
        <w:t>од</w:t>
      </w:r>
      <w:r w:rsidR="00C05311" w:rsidRPr="003D6EC8">
        <w:rPr>
          <w:rFonts w:ascii="Times New Roman" w:hAnsi="Times New Roman"/>
          <w:sz w:val="28"/>
          <w:szCs w:val="28"/>
        </w:rPr>
        <w:t>программы</w:t>
      </w:r>
      <w:r w:rsidR="003D6EC8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C05311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B418A4">
        <w:rPr>
          <w:rFonts w:ascii="Times New Roman" w:hAnsi="Times New Roman"/>
          <w:sz w:val="28"/>
          <w:szCs w:val="28"/>
        </w:rPr>
        <w:t>.</w:t>
      </w:r>
    </w:p>
    <w:p w:rsidR="00C05311" w:rsidRPr="0085228B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Pr="009B386B" w:rsidRDefault="00C05311" w:rsidP="002B6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Инструментом реализации </w:t>
      </w:r>
      <w:r w:rsidR="00673841"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 w:rsidR="003D6EC8">
        <w:rPr>
          <w:rFonts w:ascii="Times New Roman" w:hAnsi="Times New Roman"/>
          <w:sz w:val="28"/>
          <w:szCs w:val="28"/>
        </w:rPr>
        <w:t>ении №</w:t>
      </w:r>
      <w:r>
        <w:rPr>
          <w:rFonts w:ascii="Times New Roman" w:hAnsi="Times New Roman"/>
          <w:sz w:val="28"/>
          <w:szCs w:val="28"/>
        </w:rPr>
        <w:t xml:space="preserve"> 2 к настоящей </w:t>
      </w:r>
      <w:r w:rsidR="00705E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B418A4" w:rsidRDefault="00B418A4" w:rsidP="00C053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05311" w:rsidRDefault="00C05311" w:rsidP="00B418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B418A4" w:rsidRPr="00381BA5" w:rsidRDefault="00B418A4" w:rsidP="00B418A4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C05311" w:rsidRPr="008C22D3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 w:rsidR="003D6EC8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C05311" w:rsidRPr="00381BA5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</w:t>
      </w:r>
      <w:r w:rsidR="00333E04" w:rsidRPr="00333E04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05E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2106A" w:rsidRDefault="0002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06A" w:rsidRDefault="0002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06A" w:rsidRDefault="0002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06A" w:rsidRDefault="0002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06A" w:rsidRDefault="0002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06A" w:rsidRDefault="00021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2B0" w:rsidRDefault="007252B0" w:rsidP="009B38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386B" w:rsidRDefault="009B386B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sectPr w:rsidR="009B386B" w:rsidSect="00D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6D" w:rsidRDefault="0001456D" w:rsidP="00B85A99">
      <w:pPr>
        <w:spacing w:after="0" w:line="240" w:lineRule="auto"/>
      </w:pPr>
      <w:r>
        <w:separator/>
      </w:r>
    </w:p>
  </w:endnote>
  <w:endnote w:type="continuationSeparator" w:id="0">
    <w:p w:rsidR="0001456D" w:rsidRDefault="0001456D" w:rsidP="00B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6D" w:rsidRDefault="0001456D" w:rsidP="00B85A99">
      <w:pPr>
        <w:spacing w:after="0" w:line="240" w:lineRule="auto"/>
      </w:pPr>
      <w:r>
        <w:separator/>
      </w:r>
    </w:p>
  </w:footnote>
  <w:footnote w:type="continuationSeparator" w:id="0">
    <w:p w:rsidR="0001456D" w:rsidRDefault="0001456D" w:rsidP="00B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9"/>
    <w:rsid w:val="00010CD4"/>
    <w:rsid w:val="0001456D"/>
    <w:rsid w:val="0002106A"/>
    <w:rsid w:val="00050AF1"/>
    <w:rsid w:val="0006503E"/>
    <w:rsid w:val="000850CF"/>
    <w:rsid w:val="000A21C3"/>
    <w:rsid w:val="000D00FB"/>
    <w:rsid w:val="000E134B"/>
    <w:rsid w:val="000E13E7"/>
    <w:rsid w:val="000F29CE"/>
    <w:rsid w:val="001036BB"/>
    <w:rsid w:val="0011292F"/>
    <w:rsid w:val="0012662A"/>
    <w:rsid w:val="00146A31"/>
    <w:rsid w:val="001515A5"/>
    <w:rsid w:val="0015378C"/>
    <w:rsid w:val="001E7EC5"/>
    <w:rsid w:val="002010C3"/>
    <w:rsid w:val="00202535"/>
    <w:rsid w:val="00217377"/>
    <w:rsid w:val="00222016"/>
    <w:rsid w:val="00232C85"/>
    <w:rsid w:val="00234018"/>
    <w:rsid w:val="00261BC8"/>
    <w:rsid w:val="00271648"/>
    <w:rsid w:val="00280F27"/>
    <w:rsid w:val="00284050"/>
    <w:rsid w:val="0028440E"/>
    <w:rsid w:val="00296CE6"/>
    <w:rsid w:val="00297B7D"/>
    <w:rsid w:val="002A0F54"/>
    <w:rsid w:val="002B67FA"/>
    <w:rsid w:val="002C4247"/>
    <w:rsid w:val="002E38F3"/>
    <w:rsid w:val="002E665D"/>
    <w:rsid w:val="00300856"/>
    <w:rsid w:val="00304B91"/>
    <w:rsid w:val="00333E04"/>
    <w:rsid w:val="003711E2"/>
    <w:rsid w:val="00381BA5"/>
    <w:rsid w:val="0039006A"/>
    <w:rsid w:val="003C6E16"/>
    <w:rsid w:val="003D562C"/>
    <w:rsid w:val="003D6EC8"/>
    <w:rsid w:val="003E36B9"/>
    <w:rsid w:val="00415249"/>
    <w:rsid w:val="00422ED2"/>
    <w:rsid w:val="00424784"/>
    <w:rsid w:val="0043490B"/>
    <w:rsid w:val="00442B5D"/>
    <w:rsid w:val="00452D73"/>
    <w:rsid w:val="00474070"/>
    <w:rsid w:val="004745E3"/>
    <w:rsid w:val="00476DDB"/>
    <w:rsid w:val="004C0240"/>
    <w:rsid w:val="004C4415"/>
    <w:rsid w:val="004D448C"/>
    <w:rsid w:val="004E0EE8"/>
    <w:rsid w:val="004F0FD6"/>
    <w:rsid w:val="0054644D"/>
    <w:rsid w:val="00562DEC"/>
    <w:rsid w:val="00566195"/>
    <w:rsid w:val="00567AA9"/>
    <w:rsid w:val="00574068"/>
    <w:rsid w:val="00574902"/>
    <w:rsid w:val="0057713B"/>
    <w:rsid w:val="00591BF0"/>
    <w:rsid w:val="005A2A4E"/>
    <w:rsid w:val="005A3F63"/>
    <w:rsid w:val="0061212C"/>
    <w:rsid w:val="006414B1"/>
    <w:rsid w:val="00644297"/>
    <w:rsid w:val="00652A17"/>
    <w:rsid w:val="0066079F"/>
    <w:rsid w:val="00673841"/>
    <w:rsid w:val="006A0274"/>
    <w:rsid w:val="006A0A02"/>
    <w:rsid w:val="006A6609"/>
    <w:rsid w:val="006C0AB8"/>
    <w:rsid w:val="006E4046"/>
    <w:rsid w:val="006F4C48"/>
    <w:rsid w:val="00705E86"/>
    <w:rsid w:val="00710B2B"/>
    <w:rsid w:val="00710F8C"/>
    <w:rsid w:val="00715080"/>
    <w:rsid w:val="007252B0"/>
    <w:rsid w:val="00725907"/>
    <w:rsid w:val="007522ED"/>
    <w:rsid w:val="00752661"/>
    <w:rsid w:val="00776D1B"/>
    <w:rsid w:val="00777251"/>
    <w:rsid w:val="007A30F0"/>
    <w:rsid w:val="007A3E51"/>
    <w:rsid w:val="007B27E8"/>
    <w:rsid w:val="007C5F23"/>
    <w:rsid w:val="007D17C5"/>
    <w:rsid w:val="007E14E6"/>
    <w:rsid w:val="007E4B35"/>
    <w:rsid w:val="007F286A"/>
    <w:rsid w:val="00800B6B"/>
    <w:rsid w:val="00803CE1"/>
    <w:rsid w:val="0080633A"/>
    <w:rsid w:val="00851316"/>
    <w:rsid w:val="0085228B"/>
    <w:rsid w:val="008563FB"/>
    <w:rsid w:val="008703ED"/>
    <w:rsid w:val="008774C5"/>
    <w:rsid w:val="008B566F"/>
    <w:rsid w:val="008C22D3"/>
    <w:rsid w:val="008E1C2F"/>
    <w:rsid w:val="008E30E9"/>
    <w:rsid w:val="008F4F1F"/>
    <w:rsid w:val="00902177"/>
    <w:rsid w:val="009118D7"/>
    <w:rsid w:val="009257B4"/>
    <w:rsid w:val="00935D73"/>
    <w:rsid w:val="00937C52"/>
    <w:rsid w:val="00941271"/>
    <w:rsid w:val="0094220A"/>
    <w:rsid w:val="00944347"/>
    <w:rsid w:val="00955250"/>
    <w:rsid w:val="00961933"/>
    <w:rsid w:val="0096291B"/>
    <w:rsid w:val="00967631"/>
    <w:rsid w:val="0099758E"/>
    <w:rsid w:val="009B386B"/>
    <w:rsid w:val="009B60D6"/>
    <w:rsid w:val="009C1EBF"/>
    <w:rsid w:val="009C2B37"/>
    <w:rsid w:val="009D3B41"/>
    <w:rsid w:val="00A01215"/>
    <w:rsid w:val="00A109D5"/>
    <w:rsid w:val="00A25003"/>
    <w:rsid w:val="00A31C7C"/>
    <w:rsid w:val="00A414E6"/>
    <w:rsid w:val="00A63484"/>
    <w:rsid w:val="00A95EFA"/>
    <w:rsid w:val="00AB53BE"/>
    <w:rsid w:val="00AC33E4"/>
    <w:rsid w:val="00AD065B"/>
    <w:rsid w:val="00AD53BE"/>
    <w:rsid w:val="00B021E2"/>
    <w:rsid w:val="00B02E00"/>
    <w:rsid w:val="00B120E4"/>
    <w:rsid w:val="00B418A4"/>
    <w:rsid w:val="00B51C7A"/>
    <w:rsid w:val="00B55005"/>
    <w:rsid w:val="00B67875"/>
    <w:rsid w:val="00B81C92"/>
    <w:rsid w:val="00B85A99"/>
    <w:rsid w:val="00BD5856"/>
    <w:rsid w:val="00BE2BE2"/>
    <w:rsid w:val="00BF1F73"/>
    <w:rsid w:val="00BF5425"/>
    <w:rsid w:val="00C03BD6"/>
    <w:rsid w:val="00C05311"/>
    <w:rsid w:val="00C10C0D"/>
    <w:rsid w:val="00C42DDF"/>
    <w:rsid w:val="00C51B3B"/>
    <w:rsid w:val="00C57BEF"/>
    <w:rsid w:val="00C67227"/>
    <w:rsid w:val="00C7479A"/>
    <w:rsid w:val="00C8710C"/>
    <w:rsid w:val="00CC0A36"/>
    <w:rsid w:val="00CC3521"/>
    <w:rsid w:val="00CE1980"/>
    <w:rsid w:val="00CE2072"/>
    <w:rsid w:val="00CF796E"/>
    <w:rsid w:val="00D019D3"/>
    <w:rsid w:val="00D3671C"/>
    <w:rsid w:val="00D621A4"/>
    <w:rsid w:val="00D62724"/>
    <w:rsid w:val="00D709EA"/>
    <w:rsid w:val="00D71EA3"/>
    <w:rsid w:val="00D72585"/>
    <w:rsid w:val="00D94497"/>
    <w:rsid w:val="00DA0E8F"/>
    <w:rsid w:val="00DB064E"/>
    <w:rsid w:val="00DD3016"/>
    <w:rsid w:val="00DE125A"/>
    <w:rsid w:val="00DE1EB6"/>
    <w:rsid w:val="00DE7033"/>
    <w:rsid w:val="00DF33E7"/>
    <w:rsid w:val="00E0084C"/>
    <w:rsid w:val="00E12662"/>
    <w:rsid w:val="00E37A5A"/>
    <w:rsid w:val="00E52265"/>
    <w:rsid w:val="00E60DBB"/>
    <w:rsid w:val="00E62A0D"/>
    <w:rsid w:val="00E73640"/>
    <w:rsid w:val="00E92DD2"/>
    <w:rsid w:val="00EA0078"/>
    <w:rsid w:val="00EA735D"/>
    <w:rsid w:val="00EC6131"/>
    <w:rsid w:val="00EE6522"/>
    <w:rsid w:val="00F4183E"/>
    <w:rsid w:val="00F709AF"/>
    <w:rsid w:val="00F83F34"/>
    <w:rsid w:val="00FB5E23"/>
    <w:rsid w:val="00FB6B45"/>
    <w:rsid w:val="00FC16F4"/>
    <w:rsid w:val="00FC264E"/>
    <w:rsid w:val="00FD7CB9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C1F01AD-3FF5-464A-A61D-4A8D0B8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CB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D7CB9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567AA9"/>
    <w:pPr>
      <w:ind w:left="720"/>
      <w:contextualSpacing/>
    </w:pPr>
  </w:style>
  <w:style w:type="paragraph" w:customStyle="1" w:styleId="ConsPlusNonformat">
    <w:name w:val="ConsPlusNonformat"/>
    <w:uiPriority w:val="99"/>
    <w:rsid w:val="00DE1E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E1EB6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DE1EB6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rsid w:val="006A0A0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15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715080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15080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ConsPlusNormal">
    <w:name w:val="ConsPlusNormal"/>
    <w:uiPriority w:val="99"/>
    <w:rsid w:val="00715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message-headfield-value">
    <w:name w:val="b-message-head__field-value"/>
    <w:basedOn w:val="a0"/>
    <w:uiPriority w:val="99"/>
    <w:rsid w:val="008E30E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A99"/>
  </w:style>
  <w:style w:type="paragraph" w:styleId="ad">
    <w:name w:val="footer"/>
    <w:basedOn w:val="a"/>
    <w:link w:val="ae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4DF66E0098AB04A093DBE8E630A02853DA99AD4C8260B1A37F301BD928JFb6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30B558B31870E5D2653FB786CC6A10CABC8D6E9EE63FA785BD0CCF513DB22F6AA7564589D25FF1785DAA6J9bFH" TargetMode="External"/><Relationship Id="rId17" Type="http://schemas.openxmlformats.org/officeDocument/2006/relationships/hyperlink" Target="consultantplus://offline/ref=5F230B558B31870E5D264DF66E0098AB0CA592D3E0E46DAA200AD69BAA43DD77B6EA73311BD928FFJ1b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JAbDH" TargetMode="External"/><Relationship Id="rId20" Type="http://schemas.openxmlformats.org/officeDocument/2006/relationships/hyperlink" Target="consultantplus://offline/ref=5F230B558B31870E5D2653FB786CC6A10CABC8D6E9EE63FA785BD0CCF513DB22F6AA7564589D25FF1785DBA9J9b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10" Type="http://schemas.openxmlformats.org/officeDocument/2006/relationships/hyperlink" Target="http://nevyansk66.ru/" TargetMode="External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00E0-2D20-4B0A-97A1-7D17B7C6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8964</Words>
  <Characters>51101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2014-10-23T07:33:00Z</cp:lastPrinted>
  <dcterms:created xsi:type="dcterms:W3CDTF">2019-12-05T04:20:00Z</dcterms:created>
  <dcterms:modified xsi:type="dcterms:W3CDTF">2019-12-05T04:20:00Z</dcterms:modified>
</cp:coreProperties>
</file>