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50" w:rsidRPr="00311850" w:rsidRDefault="00311850" w:rsidP="00311850">
      <w:pPr>
        <w:shd w:val="clear" w:color="auto" w:fill="FFFFFF"/>
        <w:spacing w:after="0" w:line="240" w:lineRule="auto"/>
        <w:ind w:left="9912"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  <w:r w:rsidRPr="0031185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№3</w:t>
      </w:r>
    </w:p>
    <w:p w:rsidR="00311850" w:rsidRPr="00311850" w:rsidRDefault="00311850" w:rsidP="00311850">
      <w:pPr>
        <w:shd w:val="clear" w:color="auto" w:fill="FFFFFF"/>
        <w:spacing w:after="0" w:line="240" w:lineRule="auto"/>
        <w:ind w:left="106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1850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постановлению администрации</w:t>
      </w:r>
    </w:p>
    <w:p w:rsidR="00311850" w:rsidRPr="00311850" w:rsidRDefault="00311850" w:rsidP="00311850">
      <w:pPr>
        <w:shd w:val="clear" w:color="auto" w:fill="FFFFFF"/>
        <w:spacing w:after="0" w:line="240" w:lineRule="auto"/>
        <w:ind w:left="10484" w:firstLine="13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1850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</w:p>
    <w:p w:rsidR="00311850" w:rsidRPr="00311850" w:rsidRDefault="00311850" w:rsidP="00311850">
      <w:pPr>
        <w:shd w:val="clear" w:color="auto" w:fill="FFFFFF"/>
        <w:spacing w:after="0" w:line="240" w:lineRule="auto"/>
        <w:ind w:left="10348" w:firstLine="272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185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               №     </w:t>
      </w:r>
    </w:p>
    <w:p w:rsidR="00311850" w:rsidRPr="00311850" w:rsidRDefault="00311850" w:rsidP="00311850">
      <w:pPr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0"/>
        </w:rPr>
      </w:pPr>
    </w:p>
    <w:p w:rsidR="00311850" w:rsidRPr="00311850" w:rsidRDefault="00311850" w:rsidP="0031185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311850">
        <w:rPr>
          <w:rFonts w:ascii="Liberation Serif" w:eastAsia="Calibri" w:hAnsi="Liberation Serif" w:cs="Times New Roman"/>
          <w:sz w:val="24"/>
          <w:szCs w:val="24"/>
          <w:u w:val="single"/>
          <w:lang w:eastAsia="ru-RU"/>
        </w:rPr>
        <w:t xml:space="preserve"> </w:t>
      </w:r>
    </w:p>
    <w:p w:rsidR="00311850" w:rsidRPr="00CE02F9" w:rsidRDefault="00311850" w:rsidP="00311850">
      <w:pPr>
        <w:spacing w:after="0" w:line="276" w:lineRule="auto"/>
        <w:jc w:val="center"/>
        <w:rPr>
          <w:rFonts w:ascii="Liberation Serif" w:eastAsia="Calibri" w:hAnsi="Liberation Serif" w:cs="Times New Roman"/>
          <w:b/>
          <w:iCs/>
          <w:caps/>
          <w:sz w:val="26"/>
          <w:szCs w:val="26"/>
        </w:rPr>
      </w:pPr>
      <w:r w:rsidRPr="00CE02F9">
        <w:rPr>
          <w:rFonts w:ascii="Liberation Serif" w:eastAsia="Calibri" w:hAnsi="Liberation Serif" w:cs="Times New Roman"/>
          <w:b/>
          <w:iCs/>
          <w:caps/>
          <w:sz w:val="26"/>
          <w:szCs w:val="26"/>
        </w:rPr>
        <w:t xml:space="preserve">Таблица показателей </w:t>
      </w:r>
    </w:p>
    <w:p w:rsidR="00311850" w:rsidRPr="00CE02F9" w:rsidRDefault="00311850" w:rsidP="00311850">
      <w:pPr>
        <w:spacing w:after="0" w:line="276" w:lineRule="auto"/>
        <w:jc w:val="center"/>
        <w:rPr>
          <w:rFonts w:ascii="Liberation Serif" w:eastAsia="Calibri" w:hAnsi="Liberation Serif" w:cs="Times New Roman"/>
          <w:i/>
          <w:iCs/>
          <w:sz w:val="26"/>
          <w:szCs w:val="26"/>
        </w:rPr>
      </w:pPr>
      <w:r w:rsidRPr="00CE02F9">
        <w:rPr>
          <w:rFonts w:ascii="Liberation Serif" w:eastAsia="Calibri" w:hAnsi="Liberation Serif" w:cs="Times New Roman"/>
          <w:b/>
          <w:iCs/>
          <w:sz w:val="26"/>
          <w:szCs w:val="26"/>
        </w:rPr>
        <w:t xml:space="preserve">эффективности реализации мероприятий, проводимых в рамках апробации механизмов организации оказания муниципальных услуг по «Реализации дополнительных общеразвивающих программ» на территории Невьянского городского округа                                                                                 </w:t>
      </w:r>
    </w:p>
    <w:p w:rsidR="00311850" w:rsidRPr="00CE02F9" w:rsidRDefault="00311850" w:rsidP="00311850">
      <w:pPr>
        <w:rPr>
          <w:rFonts w:ascii="Liberation Serif" w:eastAsia="Calibri" w:hAnsi="Liberation Serif" w:cs="Times New Roman"/>
          <w:sz w:val="26"/>
          <w:szCs w:val="26"/>
        </w:rPr>
      </w:pPr>
    </w:p>
    <w:tbl>
      <w:tblPr>
        <w:tblStyle w:val="1"/>
        <w:tblW w:w="15309" w:type="dxa"/>
        <w:tblInd w:w="-5" w:type="dxa"/>
        <w:tblLook w:val="04A0" w:firstRow="1" w:lastRow="0" w:firstColumn="1" w:lastColumn="0" w:noHBand="0" w:noVBand="1"/>
      </w:tblPr>
      <w:tblGrid>
        <w:gridCol w:w="1173"/>
        <w:gridCol w:w="2707"/>
        <w:gridCol w:w="2081"/>
        <w:gridCol w:w="4453"/>
        <w:gridCol w:w="1521"/>
        <w:gridCol w:w="1403"/>
        <w:gridCol w:w="1971"/>
      </w:tblGrid>
      <w:tr w:rsidR="00311850" w:rsidRPr="00CE02F9" w:rsidTr="00E1443E">
        <w:trPr>
          <w:tblHeader/>
        </w:trPr>
        <w:tc>
          <w:tcPr>
            <w:tcW w:w="1153" w:type="dxa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ab/>
              <w:t>№ п/п</w:t>
            </w:r>
          </w:p>
        </w:tc>
        <w:tc>
          <w:tcPr>
            <w:tcW w:w="2751" w:type="dxa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Цель</w:t>
            </w:r>
          </w:p>
        </w:tc>
        <w:tc>
          <w:tcPr>
            <w:tcW w:w="1788" w:type="dxa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Тип индикатора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Индикатор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Базовая величина</w:t>
            </w:r>
            <w:r w:rsidRPr="00CE02F9">
              <w:rPr>
                <w:rFonts w:ascii="Liberation Serif" w:eastAsia="Calibri" w:hAnsi="Liberation Serif" w:cs="Times New Roman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Целевой ориентир</w:t>
            </w:r>
            <w:r w:rsidRPr="00CE02F9">
              <w:rPr>
                <w:rFonts w:ascii="Liberation Serif" w:eastAsia="Calibri" w:hAnsi="Liberation Serif" w:cs="Times New Roman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11850" w:rsidRPr="00CE02F9" w:rsidTr="00E1443E">
        <w:tc>
          <w:tcPr>
            <w:tcW w:w="1153" w:type="dxa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2751" w:type="dxa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788" w:type="dxa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6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7</w:t>
            </w:r>
          </w:p>
        </w:tc>
      </w:tr>
      <w:tr w:rsidR="00311850" w:rsidRPr="00CE02F9" w:rsidTr="00E1443E">
        <w:tc>
          <w:tcPr>
            <w:tcW w:w="1153" w:type="dxa"/>
            <w:vMerge w:val="restart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2751" w:type="dxa"/>
            <w:vMerge w:val="restart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Улучшение условий для оказания муниципальных услуг некоммерческими организациями </w:t>
            </w:r>
          </w:p>
        </w:tc>
        <w:tc>
          <w:tcPr>
            <w:tcW w:w="1788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Процесс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Общее количество некоммерческих организаций, оказывающих муниципальные услуги в отраслях социальной сферы</w:t>
            </w:r>
            <w:r w:rsidRPr="00CE02F9">
              <w:rPr>
                <w:rFonts w:ascii="Liberation Serif" w:eastAsia="Calibri" w:hAnsi="Liberation Serif" w:cs="Times New Roman"/>
                <w:sz w:val="26"/>
                <w:szCs w:val="26"/>
                <w:vertAlign w:val="superscript"/>
              </w:rPr>
              <w:footnoteReference w:id="3"/>
            </w: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, которым предоставляется государственная поддержка </w:t>
            </w: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br/>
              <w:t>(в том числе обучение, налоговые льготы и т.п.), единиц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c>
          <w:tcPr>
            <w:tcW w:w="1153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2751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Промежуточный результат 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Общее количество некоммерческих организаций, оказывающих </w:t>
            </w: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lastRenderedPageBreak/>
              <w:t xml:space="preserve">муниципальные услуги в социальной сфере, единиц 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lastRenderedPageBreak/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Управление образования </w:t>
            </w: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lastRenderedPageBreak/>
              <w:t>Невьянского городского округа</w:t>
            </w:r>
          </w:p>
        </w:tc>
      </w:tr>
      <w:tr w:rsidR="00311850" w:rsidRPr="00CE02F9" w:rsidTr="00E1443E">
        <w:tc>
          <w:tcPr>
            <w:tcW w:w="1153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2751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788" w:type="dxa"/>
            <w:vMerge w:val="restart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Итоговый результат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Количество некоммерческих организаций, оказывающих муниципальные услуги в социальной сфере, выбранные для апробации </w:t>
            </w:r>
            <w:r w:rsidRPr="00CE02F9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</w:rPr>
              <w:t xml:space="preserve">механизмов организации оказания муниципальных услуг в социальной сфере в соответствии с Федеральным законом </w:t>
            </w: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№ 189-ФЗ (далее – апробация), единиц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rPr>
          <w:trHeight w:val="970"/>
        </w:trPr>
        <w:tc>
          <w:tcPr>
            <w:tcW w:w="1153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2751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788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rPr>
          <w:trHeight w:val="581"/>
        </w:trPr>
        <w:tc>
          <w:tcPr>
            <w:tcW w:w="1153" w:type="dxa"/>
            <w:vMerge w:val="restart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2751" w:type="dxa"/>
            <w:vMerge w:val="restart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Усиление конкуренции при выборе немуниципальных исполнителей услуг </w:t>
            </w:r>
          </w:p>
        </w:tc>
        <w:tc>
          <w:tcPr>
            <w:tcW w:w="1788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Процесс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Уточнение/доработка актов органов местного самоуправления с учетом механизмов, предусмотренных Федеральным законом </w:t>
            </w: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br/>
              <w:t>№ 189-ФЗ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c>
          <w:tcPr>
            <w:tcW w:w="1153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2751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788" w:type="dxa"/>
            <w:vMerge w:val="restart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Промежуточный результат 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</w:t>
            </w: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lastRenderedPageBreak/>
              <w:t xml:space="preserve">в процедурах отбора исполнителей муниципальных услуг в социальной сфере (далее – исполнитель услуг) в целях оказания муниципальных услуг в социальной сфере, выбранных для апробации 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lastRenderedPageBreak/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c>
          <w:tcPr>
            <w:tcW w:w="1153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2751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788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муниципальных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c>
          <w:tcPr>
            <w:tcW w:w="1153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2751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Итоговый результат 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Доля юридических лиц, не являющихся  государственными или муниципальными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c>
          <w:tcPr>
            <w:tcW w:w="1153" w:type="dxa"/>
            <w:vMerge w:val="restart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2751" w:type="dxa"/>
            <w:vMerge w:val="restart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Увеличение охвата услугами/доступа к услугам </w:t>
            </w:r>
          </w:p>
        </w:tc>
        <w:tc>
          <w:tcPr>
            <w:tcW w:w="1788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Процесс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Информационная кампания для потребителей муниципальных услуг в социальной сфере (далее – потребитель услуг) и исполнителей услуг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rPr>
          <w:trHeight w:val="735"/>
        </w:trPr>
        <w:tc>
          <w:tcPr>
            <w:tcW w:w="1153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2751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788" w:type="dxa"/>
            <w:vMerge w:val="restart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Промежуточный результат 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Общее количество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сфере, выбранных для апробации, единиц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rPr>
          <w:trHeight w:val="735"/>
        </w:trPr>
        <w:tc>
          <w:tcPr>
            <w:tcW w:w="1153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2751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788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из них количество юридических лиц, не являющихся государственными или муниципальными учреждениями, индивидуальных предпринимателей, физических лиц – производителей товаров, работ, услуг,  единиц 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c>
          <w:tcPr>
            <w:tcW w:w="1153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2751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788" w:type="dxa"/>
            <w:vMerge w:val="restart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Итоговый результат 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Общее количество потребителей муниципальных услуг в социальной сфере, выбранных для апробации, человек 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c>
          <w:tcPr>
            <w:tcW w:w="1153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2751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788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или муниципальными учреждениями, человек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c>
          <w:tcPr>
            <w:tcW w:w="1153" w:type="dxa"/>
            <w:vMerge w:val="restart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2751" w:type="dxa"/>
            <w:vMerge w:val="restart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Повышение качества оказанных услуг </w:t>
            </w:r>
          </w:p>
        </w:tc>
        <w:tc>
          <w:tcPr>
            <w:tcW w:w="1788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Процесс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Определение стандартов (порядков) оказания муниципальных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c>
          <w:tcPr>
            <w:tcW w:w="1153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2751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Процесс 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Создание системы мониторинга и оценки</w:t>
            </w: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br/>
              <w:t xml:space="preserve"> (в т. ч. информационной системы при наличии возможности) качества оказания муниципальных услуг в социальной сфере, выбранных для апробации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c>
          <w:tcPr>
            <w:tcW w:w="1153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2751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Процесс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Наличие в органе местного самоуправления муниципального образования, осуществляющем регулирование оказания муниципальных услуг в социальной сфере, выбранных для апробации, структурного подразделения, осуществляющего мониториг оказания таких услуг в соответствии со стандартом (порядком) их оказания </w:t>
            </w: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br/>
              <w:t>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c>
          <w:tcPr>
            <w:tcW w:w="1153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2751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Промежуточный результат 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Количество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сфере, выбранные для апробации, проводящих мониторинг оказания таких услуг в соответствии со стандартом (порядком) оказания муниципальных услуг в социальной сфере, единиц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c>
          <w:tcPr>
            <w:tcW w:w="1153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2751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Итоговый результат 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Доля соответствия показателей, определенных в рамках мероприятий по проведению мониторинга оказания муниципальных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 процент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c>
          <w:tcPr>
            <w:tcW w:w="1153" w:type="dxa"/>
            <w:vMerge w:val="restart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5.</w:t>
            </w:r>
          </w:p>
        </w:tc>
        <w:tc>
          <w:tcPr>
            <w:tcW w:w="2751" w:type="dxa"/>
            <w:vMerge w:val="restart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1788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Процесс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сфере, выбранные для апробации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c>
          <w:tcPr>
            <w:tcW w:w="1153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2751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Промежуточный результат 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Количество исполнителей услуг, оказывающих муниципальные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муниципальные услуги в социальной сфере, выбранные для апробации, качеством оказанных услуг 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311850" w:rsidRPr="00CE02F9" w:rsidTr="00E1443E">
        <w:trPr>
          <w:trHeight w:val="504"/>
        </w:trPr>
        <w:tc>
          <w:tcPr>
            <w:tcW w:w="1153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2751" w:type="dxa"/>
            <w:vMerge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Итоговый результат </w:t>
            </w:r>
          </w:p>
        </w:tc>
        <w:tc>
          <w:tcPr>
            <w:tcW w:w="468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Процент потребителей услуг, удовлетворенных качеством муниципальных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45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2023</w:t>
            </w:r>
          </w:p>
        </w:tc>
        <w:tc>
          <w:tcPr>
            <w:tcW w:w="1411" w:type="dxa"/>
          </w:tcPr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значение: </w:t>
            </w:r>
          </w:p>
          <w:p w:rsidR="00311850" w:rsidRPr="00CE02F9" w:rsidRDefault="00311850" w:rsidP="00311850">
            <w:pPr>
              <w:spacing w:line="256" w:lineRule="auto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год:  2024</w:t>
            </w:r>
          </w:p>
        </w:tc>
        <w:tc>
          <w:tcPr>
            <w:tcW w:w="1976" w:type="dxa"/>
          </w:tcPr>
          <w:p w:rsidR="00311850" w:rsidRPr="00CE02F9" w:rsidRDefault="00311850" w:rsidP="00311850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CE02F9">
              <w:rPr>
                <w:rFonts w:ascii="Liberation Serif" w:eastAsia="Calibri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</w:tbl>
    <w:p w:rsidR="004E09AC" w:rsidRPr="00CE02F9" w:rsidRDefault="004E09AC">
      <w:pPr>
        <w:rPr>
          <w:rFonts w:ascii="Liberation Serif" w:hAnsi="Liberation Serif"/>
          <w:sz w:val="26"/>
          <w:szCs w:val="26"/>
        </w:rPr>
      </w:pPr>
    </w:p>
    <w:sectPr w:rsidR="004E09AC" w:rsidRPr="00CE02F9" w:rsidSect="0044667D">
      <w:headerReference w:type="default" r:id="rId6"/>
      <w:pgSz w:w="16838" w:h="11906" w:orient="landscape"/>
      <w:pgMar w:top="1701" w:right="1134" w:bottom="850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68" w:rsidRDefault="00C44968" w:rsidP="00311850">
      <w:pPr>
        <w:spacing w:after="0" w:line="240" w:lineRule="auto"/>
      </w:pPr>
      <w:r>
        <w:separator/>
      </w:r>
    </w:p>
  </w:endnote>
  <w:endnote w:type="continuationSeparator" w:id="0">
    <w:p w:rsidR="00C44968" w:rsidRDefault="00C44968" w:rsidP="0031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68" w:rsidRDefault="00C44968" w:rsidP="00311850">
      <w:pPr>
        <w:spacing w:after="0" w:line="240" w:lineRule="auto"/>
      </w:pPr>
      <w:r>
        <w:separator/>
      </w:r>
    </w:p>
  </w:footnote>
  <w:footnote w:type="continuationSeparator" w:id="0">
    <w:p w:rsidR="00C44968" w:rsidRDefault="00C44968" w:rsidP="00311850">
      <w:pPr>
        <w:spacing w:after="0" w:line="240" w:lineRule="auto"/>
      </w:pPr>
      <w:r>
        <w:continuationSeparator/>
      </w:r>
    </w:p>
  </w:footnote>
  <w:footnote w:id="1">
    <w:p w:rsidR="00311850" w:rsidRPr="00777C22" w:rsidRDefault="00311850" w:rsidP="00311850">
      <w:pPr>
        <w:pStyle w:val="a3"/>
      </w:pPr>
      <w:r w:rsidRPr="00777C22">
        <w:rPr>
          <w:rStyle w:val="a6"/>
        </w:rPr>
        <w:footnoteRef/>
      </w:r>
      <w:r>
        <w:t xml:space="preserve"> </w:t>
      </w:r>
      <w:r w:rsidRPr="00777C22">
        <w:t xml:space="preserve">Значение базовой величины </w:t>
      </w:r>
      <w:r>
        <w:t xml:space="preserve">рекомендуется определять </w:t>
      </w:r>
      <w:r w:rsidRPr="00777C22">
        <w:t xml:space="preserve">по первому году формирования </w:t>
      </w:r>
      <w:r>
        <w:t>муниципального</w:t>
      </w:r>
      <w:r w:rsidRPr="00777C22">
        <w:t xml:space="preserve"> социального заказа</w:t>
      </w:r>
      <w:r>
        <w:t>.</w:t>
      </w:r>
    </w:p>
  </w:footnote>
  <w:footnote w:id="2">
    <w:p w:rsidR="00311850" w:rsidRPr="00777C22" w:rsidRDefault="00311850" w:rsidP="00311850">
      <w:pPr>
        <w:pStyle w:val="a3"/>
      </w:pPr>
      <w:r w:rsidRPr="008C092D">
        <w:rPr>
          <w:vertAlign w:val="superscript"/>
        </w:rPr>
        <w:footnoteRef/>
      </w:r>
      <w:r w:rsidRPr="00777C22">
        <w:t xml:space="preserve"> Значение целевого ориентира </w:t>
      </w:r>
      <w:r>
        <w:t xml:space="preserve">рекомендуется определять </w:t>
      </w:r>
      <w:r w:rsidRPr="00777C22">
        <w:t>для послед</w:t>
      </w:r>
      <w:r>
        <w:t>него года, в котором действует с</w:t>
      </w:r>
      <w:r w:rsidRPr="00777C22">
        <w:t xml:space="preserve">оглашение </w:t>
      </w:r>
      <w:r>
        <w:t xml:space="preserve">о </w:t>
      </w:r>
      <w:r w:rsidRPr="00777C22">
        <w:t>сотрудничестве в сфере апробации механизмов органи</w:t>
      </w:r>
      <w:r>
        <w:t>зации оказания муниципальных (</w:t>
      </w:r>
      <w:r w:rsidRPr="00777C22">
        <w:t>муниципальных</w:t>
      </w:r>
      <w:r>
        <w:t>)</w:t>
      </w:r>
      <w:r w:rsidRPr="00777C22">
        <w:t xml:space="preserve"> услуг в социальной сфере</w:t>
      </w:r>
      <w:r>
        <w:t xml:space="preserve"> в соответствии с Федеральным законом «О государственном (муниципальном) социальном заказе на оказание муниципальных (муниципальных) услуг в социальной сфере» (далее – Федеральный закон № 189-ФЗ).</w:t>
      </w:r>
    </w:p>
  </w:footnote>
  <w:footnote w:id="3">
    <w:p w:rsidR="00311850" w:rsidRPr="00777C22" w:rsidRDefault="00311850" w:rsidP="00311850">
      <w:pPr>
        <w:pStyle w:val="a3"/>
        <w:rPr>
          <w:sz w:val="18"/>
        </w:rPr>
      </w:pPr>
      <w:r w:rsidRPr="008C092D">
        <w:rPr>
          <w:vertAlign w:val="superscript"/>
        </w:rPr>
        <w:footnoteRef/>
      </w:r>
      <w:r w:rsidRPr="008C092D">
        <w:rPr>
          <w:vertAlign w:val="superscript"/>
        </w:rPr>
        <w:t xml:space="preserve"> </w:t>
      </w:r>
      <w:r w:rsidRPr="00777C22">
        <w:t xml:space="preserve">В </w:t>
      </w:r>
      <w:r w:rsidRPr="0067607D">
        <w:t xml:space="preserve">целях настоящей таблицы к государственным услугам в отраслях социальной сферы </w:t>
      </w:r>
      <w:r>
        <w:t>рекомендуется относить</w:t>
      </w:r>
      <w:r w:rsidRPr="0067607D">
        <w:t xml:space="preserve"> </w:t>
      </w:r>
      <w:r>
        <w:t>муниципальные</w:t>
      </w:r>
      <w:r w:rsidRPr="0067607D">
        <w:t xml:space="preserve"> услуги, соответствующие направлениям деятельности, определенным в соответствии с частью 2 статьи 28 Федерального</w:t>
      </w:r>
      <w:r w:rsidRPr="00777C22">
        <w:t xml:space="preserve"> закона</w:t>
      </w:r>
      <w:r>
        <w:t xml:space="preserve"> № 189-ФЗ</w:t>
      </w:r>
      <w:r w:rsidRPr="00777C2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741704"/>
      <w:docPartObj>
        <w:docPartGallery w:val="Page Numbers (Top of Page)"/>
        <w:docPartUnique/>
      </w:docPartObj>
    </w:sdtPr>
    <w:sdtEndPr/>
    <w:sdtContent>
      <w:p w:rsidR="00311850" w:rsidRDefault="003118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2E">
          <w:rPr>
            <w:noProof/>
          </w:rPr>
          <w:t>13</w:t>
        </w:r>
        <w:r>
          <w:fldChar w:fldCharType="end"/>
        </w:r>
      </w:p>
    </w:sdtContent>
  </w:sdt>
  <w:p w:rsidR="00311850" w:rsidRDefault="00B238E0">
    <w:pPr>
      <w:pStyle w:val="a7"/>
    </w:pPr>
    <w:r>
      <w:t>АКТУАЛЬНАЯ РЕДПКЦИЯ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50"/>
    <w:rsid w:val="00121F65"/>
    <w:rsid w:val="00171659"/>
    <w:rsid w:val="00311850"/>
    <w:rsid w:val="0044667D"/>
    <w:rsid w:val="004E09AC"/>
    <w:rsid w:val="007E0433"/>
    <w:rsid w:val="009A3318"/>
    <w:rsid w:val="00B238E0"/>
    <w:rsid w:val="00C44968"/>
    <w:rsid w:val="00CE02F9"/>
    <w:rsid w:val="00E02175"/>
    <w:rsid w:val="00E30B2E"/>
    <w:rsid w:val="00E4132C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4DDF5-69C5-48B1-AA38-B917D505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18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1850"/>
    <w:rPr>
      <w:sz w:val="20"/>
      <w:szCs w:val="20"/>
    </w:rPr>
  </w:style>
  <w:style w:type="table" w:customStyle="1" w:styleId="1">
    <w:name w:val="Сетка таблицы1"/>
    <w:basedOn w:val="a1"/>
    <w:next w:val="a5"/>
    <w:uiPriority w:val="39"/>
    <w:rsid w:val="0031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311850"/>
    <w:rPr>
      <w:vertAlign w:val="superscript"/>
    </w:rPr>
  </w:style>
  <w:style w:type="table" w:styleId="a5">
    <w:name w:val="Table Grid"/>
    <w:basedOn w:val="a1"/>
    <w:uiPriority w:val="39"/>
    <w:rsid w:val="0031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1850"/>
  </w:style>
  <w:style w:type="paragraph" w:styleId="a9">
    <w:name w:val="footer"/>
    <w:basedOn w:val="a"/>
    <w:link w:val="aa"/>
    <w:uiPriority w:val="99"/>
    <w:unhideWhenUsed/>
    <w:rsid w:val="0031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6898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</dc:creator>
  <cp:keywords/>
  <dc:description/>
  <cp:lastModifiedBy>Ekaterina S. Maharandina</cp:lastModifiedBy>
  <cp:revision>2</cp:revision>
  <dcterms:created xsi:type="dcterms:W3CDTF">2023-10-24T04:02:00Z</dcterms:created>
  <dcterms:modified xsi:type="dcterms:W3CDTF">2023-10-24T04:02:00Z</dcterms:modified>
</cp:coreProperties>
</file>