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219D8" w:rsidRPr="004030F8" w:rsidTr="005219D8">
        <w:tc>
          <w:tcPr>
            <w:tcW w:w="4784" w:type="dxa"/>
          </w:tcPr>
          <w:p w:rsidR="005219D8" w:rsidRPr="004030F8" w:rsidRDefault="005219D8" w:rsidP="005219D8">
            <w:pPr>
              <w:pStyle w:val="a4"/>
              <w:ind w:left="1701"/>
              <w:rPr>
                <w:rFonts w:ascii="Liberation Serif" w:hAnsi="Liberation Serif" w:cs="Times New Roman"/>
                <w:sz w:val="18"/>
                <w:szCs w:val="28"/>
              </w:rPr>
            </w:pPr>
            <w:bookmarkStart w:id="0" w:name="_GoBack"/>
            <w:r w:rsidRPr="004030F8">
              <w:rPr>
                <w:rFonts w:ascii="Liberation Serif" w:hAnsi="Liberation Serif" w:cs="Times New Roman"/>
                <w:sz w:val="18"/>
                <w:szCs w:val="28"/>
              </w:rPr>
              <w:t xml:space="preserve">Приложение № </w:t>
            </w:r>
            <w:r w:rsidR="00B83785" w:rsidRPr="004030F8">
              <w:rPr>
                <w:rFonts w:ascii="Liberation Serif" w:hAnsi="Liberation Serif" w:cs="Times New Roman"/>
                <w:sz w:val="18"/>
                <w:szCs w:val="28"/>
              </w:rPr>
              <w:t>30</w:t>
            </w:r>
          </w:p>
          <w:p w:rsidR="005219D8" w:rsidRPr="004030F8" w:rsidRDefault="005219D8" w:rsidP="005219D8">
            <w:pPr>
              <w:ind w:left="1701"/>
              <w:rPr>
                <w:sz w:val="18"/>
              </w:rPr>
            </w:pPr>
            <w:r w:rsidRPr="004030F8">
              <w:rPr>
                <w:sz w:val="18"/>
              </w:rPr>
              <w:t>к концессионному соглашению</w:t>
            </w:r>
          </w:p>
          <w:p w:rsidR="005219D8" w:rsidRPr="004030F8" w:rsidRDefault="005219D8" w:rsidP="005219D8">
            <w:pPr>
              <w:ind w:left="1701"/>
              <w:rPr>
                <w:sz w:val="18"/>
              </w:rPr>
            </w:pPr>
            <w:r w:rsidRPr="004030F8">
              <w:rPr>
                <w:sz w:val="18"/>
              </w:rPr>
              <w:t>от «___»__________ 202__г. № ___</w:t>
            </w:r>
          </w:p>
        </w:tc>
      </w:tr>
    </w:tbl>
    <w:p w:rsidR="005219D8" w:rsidRPr="004030F8" w:rsidRDefault="005219D8" w:rsidP="005219D8">
      <w:pPr>
        <w:rPr>
          <w:b/>
          <w:sz w:val="18"/>
        </w:rPr>
      </w:pPr>
      <w:r w:rsidRPr="004030F8">
        <w:rPr>
          <w:b/>
          <w:sz w:val="18"/>
        </w:rPr>
        <w:br w:type="textWrapping" w:clear="all"/>
        <w:t>ФОРМА</w:t>
      </w:r>
    </w:p>
    <w:p w:rsidR="005219D8" w:rsidRPr="004030F8" w:rsidRDefault="005219D8" w:rsidP="005219D8">
      <w:pPr>
        <w:rPr>
          <w:sz w:val="14"/>
          <w:szCs w:val="24"/>
        </w:rPr>
      </w:pPr>
    </w:p>
    <w:p w:rsidR="005219D8" w:rsidRPr="004030F8" w:rsidRDefault="005219D8" w:rsidP="005219D8">
      <w:pPr>
        <w:pStyle w:val="ConsPlusTitle"/>
        <w:widowControl/>
        <w:spacing w:after="0" w:line="240" w:lineRule="auto"/>
        <w:jc w:val="center"/>
        <w:rPr>
          <w:rFonts w:ascii="Liberation Serif" w:hAnsi="Liberation Serif" w:cs="Times New Roman"/>
          <w:b/>
          <w:sz w:val="18"/>
        </w:rPr>
      </w:pPr>
      <w:r w:rsidRPr="004030F8">
        <w:rPr>
          <w:rFonts w:ascii="Liberation Serif" w:hAnsi="Liberation Serif" w:cs="Times New Roman"/>
          <w:b/>
          <w:sz w:val="18"/>
        </w:rPr>
        <w:t>АКТ</w:t>
      </w:r>
    </w:p>
    <w:tbl>
      <w:tblPr>
        <w:tblW w:w="6159" w:type="pct"/>
        <w:tblLayout w:type="fixed"/>
        <w:tblLook w:val="04A0" w:firstRow="1" w:lastRow="0" w:firstColumn="1" w:lastColumn="0" w:noHBand="0" w:noVBand="1"/>
      </w:tblPr>
      <w:tblGrid>
        <w:gridCol w:w="532"/>
        <w:gridCol w:w="852"/>
        <w:gridCol w:w="1009"/>
        <w:gridCol w:w="710"/>
        <w:gridCol w:w="1009"/>
        <w:gridCol w:w="1727"/>
        <w:gridCol w:w="237"/>
        <w:gridCol w:w="991"/>
        <w:gridCol w:w="1340"/>
        <w:gridCol w:w="670"/>
        <w:gridCol w:w="2226"/>
        <w:gridCol w:w="452"/>
        <w:gridCol w:w="200"/>
        <w:gridCol w:w="237"/>
        <w:gridCol w:w="674"/>
        <w:gridCol w:w="382"/>
        <w:gridCol w:w="204"/>
        <w:gridCol w:w="1894"/>
        <w:gridCol w:w="397"/>
        <w:gridCol w:w="594"/>
        <w:gridCol w:w="1876"/>
      </w:tblGrid>
      <w:tr w:rsidR="005219D8" w:rsidRPr="004030F8" w:rsidTr="005219D8">
        <w:trPr>
          <w:gridAfter w:val="3"/>
          <w:wAfter w:w="787" w:type="pct"/>
          <w:trHeight w:val="359"/>
        </w:trPr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spacing w:after="160" w:line="259" w:lineRule="auto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87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5219D8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cs="Times New Roman"/>
                <w:b/>
                <w:color w:val="000000"/>
                <w:sz w:val="18"/>
              </w:rPr>
              <w:t>технического обследования (заключение) о непригодности имущества к дальнейшему использованию, невозможности или нецелесообразности его восстановления (ремонта, реконструкции, модернизации)</w:t>
            </w: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213"/>
        </w:trPr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right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Дата составления:  "___" _______________ 20___ г.</w:t>
            </w:r>
          </w:p>
        </w:tc>
      </w:tr>
      <w:tr w:rsidR="005219D8" w:rsidRPr="004030F8" w:rsidTr="005219D8">
        <w:trPr>
          <w:gridAfter w:val="3"/>
          <w:wAfter w:w="787" w:type="pct"/>
          <w:trHeight w:val="161"/>
        </w:trPr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315"/>
        </w:trPr>
        <w:tc>
          <w:tcPr>
            <w:tcW w:w="8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Комиссия, назначенная приказом __________________ в составе :</w:t>
            </w:r>
          </w:p>
        </w:tc>
        <w:tc>
          <w:tcPr>
            <w:tcW w:w="14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trHeight w:val="12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315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12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sz w:val="14"/>
                <w:szCs w:val="24"/>
                <w:lang w:eastAsia="ru-RU"/>
              </w:rPr>
            </w:pPr>
          </w:p>
        </w:tc>
        <w:tc>
          <w:tcPr>
            <w:tcW w:w="8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5219D8">
        <w:trPr>
          <w:gridAfter w:val="3"/>
          <w:wAfter w:w="787" w:type="pct"/>
          <w:trHeight w:val="225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ФИО</w:t>
            </w:r>
          </w:p>
        </w:tc>
      </w:tr>
      <w:tr w:rsidR="005219D8" w:rsidRPr="004030F8" w:rsidTr="005219D8">
        <w:trPr>
          <w:gridAfter w:val="3"/>
          <w:wAfter w:w="787" w:type="pct"/>
          <w:trHeight w:val="315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Члены комиссии:</w:t>
            </w:r>
          </w:p>
        </w:tc>
        <w:tc>
          <w:tcPr>
            <w:tcW w:w="12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83"/>
        </w:trPr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3" w:type="pct"/>
            <w:gridSpan w:val="4"/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ФИО</w:t>
            </w:r>
          </w:p>
        </w:tc>
      </w:tr>
      <w:tr w:rsidR="005219D8" w:rsidRPr="004030F8" w:rsidTr="00FF7CA3">
        <w:trPr>
          <w:gridAfter w:val="3"/>
          <w:wAfter w:w="787" w:type="pct"/>
          <w:trHeight w:val="143"/>
        </w:trPr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3" w:type="pct"/>
            <w:gridSpan w:val="4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174"/>
        </w:trPr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3" w:type="pct"/>
            <w:gridSpan w:val="4"/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ФИО</w:t>
            </w:r>
          </w:p>
        </w:tc>
      </w:tr>
      <w:tr w:rsidR="005219D8" w:rsidRPr="004030F8" w:rsidTr="00FF7CA3">
        <w:trPr>
          <w:gridAfter w:val="3"/>
          <w:wAfter w:w="787" w:type="pct"/>
          <w:trHeight w:val="119"/>
        </w:trPr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3" w:type="pct"/>
            <w:gridSpan w:val="4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93"/>
        </w:trPr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3" w:type="pct"/>
            <w:gridSpan w:val="4"/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ФИО</w:t>
            </w:r>
          </w:p>
        </w:tc>
      </w:tr>
      <w:tr w:rsidR="005219D8" w:rsidRPr="004030F8" w:rsidTr="00FF7CA3">
        <w:trPr>
          <w:gridAfter w:val="3"/>
          <w:wAfter w:w="787" w:type="pct"/>
          <w:trHeight w:val="70"/>
        </w:trPr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3" w:type="pct"/>
            <w:gridSpan w:val="4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70"/>
        </w:trPr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3" w:type="pct"/>
            <w:gridSpan w:val="4"/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88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ФИО</w:t>
            </w:r>
          </w:p>
        </w:tc>
      </w:tr>
      <w:tr w:rsidR="005219D8" w:rsidRPr="004030F8" w:rsidTr="00FF7CA3">
        <w:trPr>
          <w:gridAfter w:val="3"/>
          <w:wAfter w:w="787" w:type="pct"/>
          <w:trHeight w:val="157"/>
        </w:trPr>
        <w:tc>
          <w:tcPr>
            <w:tcW w:w="146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23" w:type="pct"/>
            <w:gridSpan w:val="4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315"/>
        </w:trPr>
        <w:tc>
          <w:tcPr>
            <w:tcW w:w="16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 xml:space="preserve">Осмотрела состояние следующих объектов: 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5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 xml:space="preserve">№, </w:t>
            </w:r>
            <w:proofErr w:type="spellStart"/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п.п</w:t>
            </w:r>
            <w:proofErr w:type="spellEnd"/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Наименование объекта основных средств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Инвентарный номер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Дата выпуска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Фактический срок службы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Первоначальная (восстановительная) стоимость, руб.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Начисленная амортизация, руб.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Остаточная стоимость, руб.</w:t>
            </w:r>
          </w:p>
        </w:tc>
      </w:tr>
      <w:tr w:rsidR="005219D8" w:rsidRPr="004030F8" w:rsidTr="005219D8">
        <w:trPr>
          <w:gridAfter w:val="3"/>
          <w:wAfter w:w="787" w:type="pct"/>
          <w:trHeight w:val="424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9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5219D8">
        <w:trPr>
          <w:gridAfter w:val="3"/>
          <w:wAfter w:w="787" w:type="pct"/>
          <w:trHeight w:val="415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5219D8">
        <w:trPr>
          <w:gridAfter w:val="3"/>
          <w:wAfter w:w="787" w:type="pct"/>
          <w:trHeight w:val="127"/>
        </w:trPr>
        <w:tc>
          <w:tcPr>
            <w:tcW w:w="14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3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10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90"/>
        </w:trPr>
        <w:tc>
          <w:tcPr>
            <w:tcW w:w="146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3" w:type="pct"/>
            <w:gridSpan w:val="4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10" w:type="pct"/>
            <w:gridSpan w:val="4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203"/>
        </w:trPr>
        <w:tc>
          <w:tcPr>
            <w:tcW w:w="1940" w:type="pct"/>
            <w:gridSpan w:val="8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 xml:space="preserve">При осмотре  обнаружено (техническое состояние): </w:t>
            </w:r>
          </w:p>
        </w:tc>
        <w:tc>
          <w:tcPr>
            <w:tcW w:w="552" w:type="pct"/>
            <w:gridSpan w:val="2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5" w:type="pct"/>
            <w:gridSpan w:val="2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10" w:type="pct"/>
            <w:gridSpan w:val="4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150"/>
        </w:trPr>
        <w:tc>
          <w:tcPr>
            <w:tcW w:w="1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83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3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1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5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 xml:space="preserve">№, </w:t>
            </w:r>
            <w:proofErr w:type="spellStart"/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п.п</w:t>
            </w:r>
            <w:proofErr w:type="spellEnd"/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5219D8">
            <w:pPr>
              <w:ind w:left="-106" w:right="-108"/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proofErr w:type="spellStart"/>
            <w:proofErr w:type="gramStart"/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:rsidR="005219D8" w:rsidRPr="004030F8" w:rsidRDefault="005219D8" w:rsidP="005219D8">
            <w:pPr>
              <w:ind w:left="-106" w:right="-108"/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объекта основных средств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5219D8">
            <w:pPr>
              <w:tabs>
                <w:tab w:val="left" w:pos="884"/>
              </w:tabs>
              <w:ind w:left="-27"/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Остаточная стоимость, руб.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Cs/>
                <w:sz w:val="14"/>
                <w:szCs w:val="24"/>
                <w:lang w:eastAsia="ru-RU"/>
              </w:rPr>
              <w:t>Варианты восстановления и дальнейшего использования объекта</w:t>
            </w:r>
          </w:p>
        </w:tc>
      </w:tr>
      <w:tr w:rsidR="005219D8" w:rsidRPr="004030F8" w:rsidTr="005219D8">
        <w:trPr>
          <w:gridAfter w:val="3"/>
          <w:wAfter w:w="787" w:type="pct"/>
          <w:trHeight w:val="447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5219D8">
        <w:trPr>
          <w:gridAfter w:val="3"/>
          <w:wAfter w:w="787" w:type="pct"/>
          <w:trHeight w:val="42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6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2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9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5219D8">
        <w:trPr>
          <w:gridAfter w:val="3"/>
          <w:wAfter w:w="787" w:type="pct"/>
          <w:trHeight w:val="315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FF7CA3">
        <w:trPr>
          <w:gridAfter w:val="3"/>
          <w:wAfter w:w="787" w:type="pct"/>
          <w:trHeight w:val="80"/>
        </w:trPr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28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134"/>
        </w:trPr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28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70"/>
        </w:trPr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28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3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5219D8">
        <w:trPr>
          <w:gridAfter w:val="3"/>
          <w:wAfter w:w="787" w:type="pct"/>
          <w:trHeight w:val="315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315"/>
        </w:trPr>
        <w:tc>
          <w:tcPr>
            <w:tcW w:w="322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Рассмотрены следующие варианты восстановления и дальнейшего использования объекта (-</w:t>
            </w:r>
            <w:proofErr w:type="spellStart"/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ов</w:t>
            </w:r>
            <w:proofErr w:type="spellEnd"/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):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315"/>
        </w:trPr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149"/>
        </w:trPr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70"/>
        </w:trPr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84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 w:themeColor="text1"/>
                <w:sz w:val="14"/>
                <w:szCs w:val="24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5219D8">
        <w:trPr>
          <w:gridAfter w:val="3"/>
          <w:wAfter w:w="787" w:type="pct"/>
          <w:trHeight w:val="315"/>
        </w:trPr>
        <w:tc>
          <w:tcPr>
            <w:tcW w:w="421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 w:themeColor="text1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color w:val="000000" w:themeColor="text1"/>
                <w:sz w:val="14"/>
                <w:szCs w:val="24"/>
                <w:lang w:eastAsia="ru-RU"/>
              </w:rPr>
              <w:t xml:space="preserve">Заключение комиссии (восстановление и дальнейшее использование; ликвидация, утилизация и списание; подлежит передаче Концеденту/в распоряжение Концессионеру): </w:t>
            </w:r>
          </w:p>
        </w:tc>
      </w:tr>
      <w:tr w:rsidR="005219D8" w:rsidRPr="004030F8" w:rsidTr="00FF7CA3">
        <w:trPr>
          <w:gridAfter w:val="3"/>
          <w:wAfter w:w="787" w:type="pct"/>
          <w:trHeight w:val="185"/>
        </w:trPr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i/>
                <w:iCs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151"/>
        </w:trPr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4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237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FF7CA3">
        <w:trPr>
          <w:gridAfter w:val="3"/>
          <w:wAfter w:w="787" w:type="pct"/>
          <w:trHeight w:val="8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FF7CA3">
        <w:trPr>
          <w:gridAfter w:val="3"/>
          <w:wAfter w:w="787" w:type="pct"/>
          <w:trHeight w:val="87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FF7CA3">
        <w:trPr>
          <w:gridAfter w:val="3"/>
          <w:wAfter w:w="787" w:type="pct"/>
          <w:trHeight w:val="70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sz w:val="1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FF7CA3">
        <w:trPr>
          <w:gridAfter w:val="3"/>
          <w:wAfter w:w="787" w:type="pct"/>
          <w:trHeight w:val="151"/>
        </w:trPr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126"/>
        </w:trPr>
        <w:tc>
          <w:tcPr>
            <w:tcW w:w="65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  <w:t>подпись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 xml:space="preserve"> расшифровка подписи</w:t>
            </w:r>
          </w:p>
        </w:tc>
      </w:tr>
      <w:tr w:rsidR="005219D8" w:rsidRPr="004030F8" w:rsidTr="00FF7CA3">
        <w:trPr>
          <w:gridAfter w:val="3"/>
          <w:wAfter w:w="787" w:type="pct"/>
          <w:trHeight w:val="85"/>
        </w:trPr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b/>
                <w:bCs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b/>
                <w:bCs/>
                <w:sz w:val="14"/>
                <w:szCs w:val="24"/>
                <w:lang w:eastAsia="ru-RU"/>
              </w:rPr>
              <w:t>Члены комиссии: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sz w:val="14"/>
                <w:szCs w:val="24"/>
                <w:lang w:eastAsia="ru-RU"/>
              </w:rPr>
            </w:pPr>
          </w:p>
        </w:tc>
      </w:tr>
      <w:tr w:rsidR="005219D8" w:rsidRPr="004030F8" w:rsidTr="00FF7CA3">
        <w:trPr>
          <w:gridAfter w:val="3"/>
          <w:wAfter w:w="787" w:type="pct"/>
          <w:trHeight w:val="215"/>
        </w:trPr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120"/>
        </w:trPr>
        <w:tc>
          <w:tcPr>
            <w:tcW w:w="65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  <w:t>подпись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 xml:space="preserve"> расшифровка подписи</w:t>
            </w:r>
          </w:p>
        </w:tc>
      </w:tr>
      <w:tr w:rsidR="005219D8" w:rsidRPr="004030F8" w:rsidTr="00FF7CA3">
        <w:trPr>
          <w:gridAfter w:val="3"/>
          <w:wAfter w:w="787" w:type="pct"/>
          <w:trHeight w:val="93"/>
        </w:trPr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70"/>
        </w:trPr>
        <w:tc>
          <w:tcPr>
            <w:tcW w:w="65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  <w:t>подпись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 xml:space="preserve"> расшифровка подписи</w:t>
            </w:r>
          </w:p>
        </w:tc>
      </w:tr>
      <w:tr w:rsidR="005219D8" w:rsidRPr="004030F8" w:rsidTr="00FF7CA3">
        <w:trPr>
          <w:gridAfter w:val="3"/>
          <w:wAfter w:w="787" w:type="pct"/>
          <w:trHeight w:val="183"/>
        </w:trPr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130"/>
        </w:trPr>
        <w:tc>
          <w:tcPr>
            <w:tcW w:w="65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должность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  <w:t>подпись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 xml:space="preserve"> расшифровка подписи</w:t>
            </w:r>
          </w:p>
        </w:tc>
      </w:tr>
      <w:tr w:rsidR="005219D8" w:rsidRPr="004030F8" w:rsidTr="00FF7CA3">
        <w:trPr>
          <w:gridAfter w:val="3"/>
          <w:wAfter w:w="787" w:type="pct"/>
          <w:trHeight w:val="89"/>
        </w:trPr>
        <w:tc>
          <w:tcPr>
            <w:tcW w:w="657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> </w:t>
            </w:r>
          </w:p>
        </w:tc>
      </w:tr>
      <w:tr w:rsidR="005219D8" w:rsidRPr="004030F8" w:rsidTr="00FF7CA3">
        <w:trPr>
          <w:gridAfter w:val="3"/>
          <w:wAfter w:w="787" w:type="pct"/>
          <w:trHeight w:val="205"/>
        </w:trPr>
        <w:tc>
          <w:tcPr>
            <w:tcW w:w="65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 xml:space="preserve">        должность</w:t>
            </w:r>
          </w:p>
        </w:tc>
        <w:tc>
          <w:tcPr>
            <w:tcW w:w="195" w:type="pct"/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243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  <w:t>подпись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9D8" w:rsidRPr="004030F8" w:rsidRDefault="005219D8" w:rsidP="00B403DE">
            <w:pPr>
              <w:rPr>
                <w:rFonts w:eastAsia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6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9D8" w:rsidRPr="004030F8" w:rsidRDefault="005219D8" w:rsidP="00B403DE">
            <w:pPr>
              <w:jc w:val="center"/>
              <w:rPr>
                <w:rFonts w:eastAsia="Times New Roman" w:cs="Times New Roman"/>
                <w:sz w:val="14"/>
                <w:szCs w:val="24"/>
                <w:lang w:eastAsia="ru-RU"/>
              </w:rPr>
            </w:pPr>
            <w:r w:rsidRPr="004030F8">
              <w:rPr>
                <w:rFonts w:eastAsia="Times New Roman" w:cs="Times New Roman"/>
                <w:sz w:val="14"/>
                <w:szCs w:val="24"/>
                <w:lang w:eastAsia="ru-RU"/>
              </w:rPr>
              <w:t xml:space="preserve"> расшифровка подписи</w:t>
            </w:r>
          </w:p>
        </w:tc>
      </w:tr>
    </w:tbl>
    <w:p w:rsidR="005219D8" w:rsidRPr="004030F8" w:rsidRDefault="005219D8" w:rsidP="005219D8">
      <w:pPr>
        <w:ind w:firstLine="709"/>
        <w:jc w:val="center"/>
        <w:rPr>
          <w:b/>
          <w:sz w:val="18"/>
        </w:rPr>
      </w:pPr>
    </w:p>
    <w:p w:rsidR="005219D8" w:rsidRPr="004030F8" w:rsidRDefault="005219D8" w:rsidP="005219D8">
      <w:pPr>
        <w:ind w:firstLine="709"/>
        <w:jc w:val="center"/>
        <w:rPr>
          <w:b/>
          <w:sz w:val="18"/>
        </w:rPr>
      </w:pPr>
    </w:p>
    <w:p w:rsidR="005219D8" w:rsidRPr="004030F8" w:rsidRDefault="005219D8" w:rsidP="005219D8">
      <w:pPr>
        <w:autoSpaceDE w:val="0"/>
        <w:autoSpaceDN w:val="0"/>
        <w:adjustRightInd w:val="0"/>
        <w:rPr>
          <w:sz w:val="18"/>
        </w:rPr>
      </w:pPr>
      <w:r w:rsidRPr="004030F8">
        <w:rPr>
          <w:sz w:val="18"/>
        </w:rPr>
        <w:t>----------------------------------</w:t>
      </w:r>
    </w:p>
    <w:p w:rsidR="005219D8" w:rsidRPr="004030F8" w:rsidRDefault="005219D8" w:rsidP="005219D8">
      <w:pPr>
        <w:autoSpaceDE w:val="0"/>
        <w:autoSpaceDN w:val="0"/>
        <w:adjustRightInd w:val="0"/>
        <w:rPr>
          <w:sz w:val="10"/>
          <w:szCs w:val="20"/>
        </w:rPr>
      </w:pPr>
      <w:r w:rsidRPr="004030F8">
        <w:rPr>
          <w:sz w:val="10"/>
          <w:szCs w:val="20"/>
        </w:rPr>
        <w:t>Конец формы</w:t>
      </w:r>
    </w:p>
    <w:bookmarkEnd w:id="0"/>
    <w:p w:rsidR="003E1306" w:rsidRPr="004030F8" w:rsidRDefault="003E1306">
      <w:pPr>
        <w:rPr>
          <w:sz w:val="18"/>
        </w:rPr>
      </w:pPr>
    </w:p>
    <w:sectPr w:rsidR="003E1306" w:rsidRPr="004030F8" w:rsidSect="005219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9D8"/>
    <w:rsid w:val="003E1306"/>
    <w:rsid w:val="004030F8"/>
    <w:rsid w:val="005219D8"/>
    <w:rsid w:val="00B8378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B8FDF-500B-481C-8EF3-73726B79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9D8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219D8"/>
    <w:pPr>
      <w:widowControl w:val="0"/>
      <w:suppressAutoHyphens/>
    </w:pPr>
    <w:rPr>
      <w:rFonts w:ascii="Calibri" w:eastAsia="Arial Unicode MS" w:hAnsi="Calibri" w:cs="font358"/>
      <w:kern w:val="1"/>
      <w:sz w:val="28"/>
      <w:szCs w:val="28"/>
      <w:lang w:eastAsia="ar-SA"/>
    </w:rPr>
  </w:style>
  <w:style w:type="paragraph" w:customStyle="1" w:styleId="a4">
    <w:name w:val="Таблицы (моноширинный)"/>
    <w:basedOn w:val="a"/>
    <w:next w:val="a"/>
    <w:rsid w:val="005219D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 Артем Сергеевич</dc:creator>
  <cp:lastModifiedBy>Светлана Кононова</cp:lastModifiedBy>
  <cp:revision>3</cp:revision>
  <cp:lastPrinted>2020-11-10T10:11:00Z</cp:lastPrinted>
  <dcterms:created xsi:type="dcterms:W3CDTF">2020-11-10T09:58:00Z</dcterms:created>
  <dcterms:modified xsi:type="dcterms:W3CDTF">2022-04-05T09:32:00Z</dcterms:modified>
</cp:coreProperties>
</file>