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82" w:rsidRDefault="005D5F82" w:rsidP="005D5F82">
      <w:pPr>
        <w:pStyle w:val="a5"/>
        <w:jc w:val="center"/>
      </w:pPr>
      <w:r>
        <w:rPr>
          <w:rFonts w:ascii="Liberation Serif" w:hAnsi="Liberation Serif"/>
          <w:b/>
          <w:noProof/>
          <w:sz w:val="36"/>
          <w:szCs w:val="36"/>
        </w:rPr>
        <w:drawing>
          <wp:inline distT="0" distB="0" distL="0" distR="0" wp14:anchorId="4C69F921" wp14:editId="1887427A">
            <wp:extent cx="589186" cy="720000"/>
            <wp:effectExtent l="0" t="0" r="1905" b="4445"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82" w:rsidRPr="00D611D8" w:rsidRDefault="005D5F82" w:rsidP="005D5F82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АДМИНИСТРАЦИЯ НЕВЬЯНСКОГО </w:t>
      </w:r>
      <w:r w:rsidRPr="00D611D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5D5F82" w:rsidRPr="00D611D8" w:rsidRDefault="005D5F82" w:rsidP="005D5F82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D5F82" w:rsidRDefault="005D5F82" w:rsidP="005D5F82"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E13D8" wp14:editId="6F1C10E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49340" cy="0"/>
                <wp:effectExtent l="32385" t="33655" r="2857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AC0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5D5F82" w:rsidTr="005336C3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5D5F82" w:rsidRDefault="005D5F82" w:rsidP="005336C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11.08.2023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5D5F82" w:rsidRDefault="005D5F82" w:rsidP="005336C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5D5F82" w:rsidRDefault="005D5F82" w:rsidP="005336C3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5D5F82" w:rsidRDefault="005D5F82" w:rsidP="005336C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5D5F82" w:rsidRDefault="005D5F82" w:rsidP="005336C3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1504-п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5D5F82" w:rsidTr="005336C3">
        <w:tc>
          <w:tcPr>
            <w:tcW w:w="9747" w:type="dxa"/>
            <w:gridSpan w:val="6"/>
          </w:tcPr>
          <w:p w:rsidR="005D5F82" w:rsidRPr="00355D28" w:rsidRDefault="005D5F82" w:rsidP="005336C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5D5F82" w:rsidRPr="00E5775D" w:rsidRDefault="005D5F82" w:rsidP="005D5F82">
      <w:pPr>
        <w:rPr>
          <w:rFonts w:ascii="Liberation Serif" w:hAnsi="Liberation Serif"/>
          <w:sz w:val="26"/>
          <w:szCs w:val="26"/>
        </w:rPr>
      </w:pPr>
    </w:p>
    <w:p w:rsidR="005D5F82" w:rsidRDefault="005D5F82" w:rsidP="005D5F82">
      <w:pPr>
        <w:jc w:val="center"/>
        <w:rPr>
          <w:rFonts w:ascii="Liberation Serif" w:hAnsi="Liberation Serif"/>
          <w:b/>
          <w:spacing w:val="-6"/>
          <w:sz w:val="26"/>
          <w:szCs w:val="26"/>
        </w:rPr>
      </w:pPr>
      <w:r w:rsidRPr="00E5775D">
        <w:rPr>
          <w:rFonts w:ascii="Liberation Serif" w:hAnsi="Liberation Serif"/>
          <w:b/>
          <w:spacing w:val="-6"/>
          <w:sz w:val="26"/>
          <w:szCs w:val="26"/>
        </w:rPr>
        <w:t xml:space="preserve">Об утверждении Положения о муниципальной автоматизированной </w:t>
      </w:r>
    </w:p>
    <w:p w:rsidR="005D5F82" w:rsidRPr="00E5775D" w:rsidRDefault="005D5F82" w:rsidP="005D5F82">
      <w:pPr>
        <w:jc w:val="center"/>
        <w:rPr>
          <w:rFonts w:ascii="Liberation Serif" w:hAnsi="Liberation Serif"/>
          <w:b/>
          <w:sz w:val="26"/>
          <w:szCs w:val="26"/>
        </w:rPr>
      </w:pPr>
      <w:r w:rsidRPr="00E5775D">
        <w:rPr>
          <w:rFonts w:ascii="Liberation Serif" w:hAnsi="Liberation Serif"/>
          <w:b/>
          <w:spacing w:val="-6"/>
          <w:sz w:val="26"/>
          <w:szCs w:val="26"/>
        </w:rPr>
        <w:t xml:space="preserve">системе центрального оповещения на территории </w:t>
      </w:r>
      <w:r w:rsidRPr="00E5775D">
        <w:rPr>
          <w:rFonts w:ascii="Liberation Serif" w:hAnsi="Liberation Serif"/>
          <w:b/>
          <w:sz w:val="26"/>
          <w:szCs w:val="26"/>
        </w:rPr>
        <w:t>Невьянского городского округа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Default="00451B59" w:rsidP="004D3FE5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В соответствии с Федеральными законами от 21 декабря 1994 года </w:t>
      </w:r>
      <w:hyperlink r:id="rId7">
        <w:r w:rsidR="004D3FE5">
          <w:rPr>
            <w:rFonts w:ascii="Liberation Serif" w:hAnsi="Liberation Serif" w:cs="Liberation Serif"/>
            <w:color w:val="0000FF"/>
            <w:sz w:val="25"/>
            <w:szCs w:val="25"/>
          </w:rPr>
          <w:t>№</w:t>
        </w:r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 xml:space="preserve"> 68-ФЗ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</w:t>
      </w:r>
      <w:r w:rsidR="004D3FE5">
        <w:rPr>
          <w:rFonts w:ascii="Liberation Serif" w:hAnsi="Liberation Serif" w:cs="Liberation Serif"/>
          <w:sz w:val="25"/>
          <w:szCs w:val="25"/>
        </w:rPr>
        <w:br/>
        <w:t>«</w:t>
      </w:r>
      <w:r w:rsidRPr="00D94429">
        <w:rPr>
          <w:rFonts w:ascii="Liberation Serif" w:hAnsi="Liberation Serif" w:cs="Liberation Serif"/>
          <w:sz w:val="25"/>
          <w:szCs w:val="25"/>
        </w:rPr>
        <w:t>О защите населения и территорий от чрезвычайных ситуаций природного и техногенного характера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от 12 февраля 1998 года </w:t>
      </w:r>
      <w:hyperlink r:id="rId8">
        <w:r w:rsidR="004D3FE5">
          <w:rPr>
            <w:rFonts w:ascii="Liberation Serif" w:hAnsi="Liberation Serif" w:cs="Liberation Serif"/>
            <w:color w:val="0000FF"/>
            <w:sz w:val="25"/>
            <w:szCs w:val="25"/>
          </w:rPr>
          <w:t>№</w:t>
        </w:r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 xml:space="preserve"> 28-ФЗ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О гражданской обороне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</w:t>
      </w:r>
      <w:r w:rsidR="004D3FE5">
        <w:rPr>
          <w:rFonts w:ascii="Liberation Serif" w:hAnsi="Liberation Serif" w:cs="Liberation Serif"/>
          <w:sz w:val="25"/>
          <w:szCs w:val="25"/>
        </w:rPr>
        <w:br/>
      </w:r>
      <w:hyperlink r:id="rId9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Указом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Президента Российской Федерации от 20 декабря 2016 года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696 </w:t>
      </w:r>
      <w:r w:rsidR="004D3FE5">
        <w:rPr>
          <w:rFonts w:ascii="Liberation Serif" w:hAnsi="Liberation Serif" w:cs="Liberation Serif"/>
          <w:sz w:val="25"/>
          <w:szCs w:val="25"/>
        </w:rPr>
        <w:br/>
        <w:t>«</w:t>
      </w:r>
      <w:r w:rsidRPr="00D94429">
        <w:rPr>
          <w:rFonts w:ascii="Liberation Serif" w:hAnsi="Liberation Serif" w:cs="Liberation Serif"/>
          <w:sz w:val="25"/>
          <w:szCs w:val="25"/>
        </w:rPr>
        <w:t>Об утверждении основ государственной политики Российской Федерации в области гражданской обороны на период до 2030 года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</w:t>
      </w:r>
      <w:hyperlink r:id="rId10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Законом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Свердловской области </w:t>
      </w:r>
      <w:r w:rsidR="004D3FE5">
        <w:rPr>
          <w:rFonts w:ascii="Liberation Serif" w:hAnsi="Liberation Serif" w:cs="Liberation Serif"/>
          <w:sz w:val="25"/>
          <w:szCs w:val="25"/>
        </w:rPr>
        <w:br/>
      </w:r>
      <w:r w:rsidRPr="00D94429">
        <w:rPr>
          <w:rFonts w:ascii="Liberation Serif" w:hAnsi="Liberation Serif" w:cs="Liberation Serif"/>
          <w:sz w:val="25"/>
          <w:szCs w:val="25"/>
        </w:rPr>
        <w:t xml:space="preserve">от 27 декабря 2004 года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221-ОЗ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О защите населения и территорий от чрезвычайных ситуаций природного и техногенного характера в Свердловской области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</w:t>
      </w:r>
      <w:r w:rsidR="004D3FE5">
        <w:rPr>
          <w:rFonts w:ascii="Liberation Serif" w:hAnsi="Liberation Serif" w:cs="Liberation Serif"/>
          <w:sz w:val="25"/>
          <w:szCs w:val="25"/>
        </w:rPr>
        <w:br/>
      </w:r>
      <w:hyperlink r:id="rId11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Положением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о системах оповещения населения, утвержденным совместным </w:t>
      </w:r>
      <w:r w:rsidR="004D3FE5">
        <w:rPr>
          <w:rFonts w:ascii="Liberation Serif" w:hAnsi="Liberation Serif" w:cs="Liberation Serif"/>
          <w:sz w:val="25"/>
          <w:szCs w:val="25"/>
        </w:rPr>
        <w:br/>
      </w:r>
      <w:r w:rsidRPr="00D94429">
        <w:rPr>
          <w:rFonts w:ascii="Liberation Serif" w:hAnsi="Liberation Serif" w:cs="Liberation Serif"/>
          <w:sz w:val="25"/>
          <w:szCs w:val="25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</w:t>
      </w:r>
      <w:r w:rsidR="004D3FE5">
        <w:rPr>
          <w:rFonts w:ascii="Liberation Serif" w:hAnsi="Liberation Serif" w:cs="Liberation Serif"/>
          <w:sz w:val="25"/>
          <w:szCs w:val="25"/>
        </w:rPr>
        <w:br/>
        <w:t>от 31.07.2020 N 578/365</w:t>
      </w:r>
    </w:p>
    <w:p w:rsidR="004D3FE5" w:rsidRDefault="004D3FE5" w:rsidP="004D3FE5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4D3FE5" w:rsidRPr="00923E08" w:rsidRDefault="004D3FE5" w:rsidP="00923E08">
      <w:pPr>
        <w:pStyle w:val="ConsPlusNormal"/>
        <w:jc w:val="both"/>
        <w:rPr>
          <w:rFonts w:ascii="Liberation Serif" w:hAnsi="Liberation Serif" w:cs="Liberation Serif"/>
          <w:b/>
          <w:sz w:val="25"/>
          <w:szCs w:val="25"/>
        </w:rPr>
      </w:pPr>
      <w:r w:rsidRPr="00923E08">
        <w:rPr>
          <w:rFonts w:ascii="Liberation Serif" w:hAnsi="Liberation Serif" w:cs="Liberation Serif"/>
          <w:b/>
          <w:sz w:val="25"/>
          <w:szCs w:val="25"/>
        </w:rPr>
        <w:t>ПОСТАНОВЛЯЕТ:</w:t>
      </w:r>
    </w:p>
    <w:p w:rsidR="004D3FE5" w:rsidRPr="00D94429" w:rsidRDefault="004D3FE5" w:rsidP="004D3FE5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1. Утвердить </w:t>
      </w:r>
      <w:hyperlink w:anchor="P31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Положение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о муниципальной автоматизированной системе центрального оповещения на территории Невьянского городского округа (прилагается).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2. Рекомендовать руководителям объектов производственной и социальной сферы проанализировать состояние дел по реализации вопросов оповещения, информирования населения и привести их в соответствие с требованиями </w:t>
      </w:r>
      <w:hyperlink w:anchor="P31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Положения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>, утвержденного пунктом 1 настоящего Постановления.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lastRenderedPageBreak/>
        <w:t xml:space="preserve">3. Признать утратившим силу Постановление администрации Невьянского городского округа от 18.10.2021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1670-п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О своевременном оповещении и информировании населения об угрозе возникновения или о возникновении чрезвычайных ситуаций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4. Опубликовать настоящее Постановление в газете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Муниципальный вестник Невьянского городского округа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Интернет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5. Контроль за исполнением настоящего Постановления оставляю за собой.</w:t>
      </w:r>
    </w:p>
    <w:p w:rsidR="004D3FE5" w:rsidRDefault="004D3FE5" w:rsidP="004D3FE5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4D3FE5" w:rsidRDefault="004D3FE5" w:rsidP="004D3FE5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4D3FE5" w:rsidRDefault="004D3FE5" w:rsidP="004D3FE5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Глава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Невьянского </w:t>
      </w:r>
    </w:p>
    <w:p w:rsidR="00451B59" w:rsidRPr="00D94429" w:rsidRDefault="004D3FE5" w:rsidP="004D3FE5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городского округа</w:t>
      </w:r>
      <w:r>
        <w:rPr>
          <w:rFonts w:ascii="Liberation Serif" w:hAnsi="Liberation Serif" w:cs="Liberation Serif"/>
          <w:sz w:val="25"/>
          <w:szCs w:val="25"/>
        </w:rPr>
        <w:t xml:space="preserve">                                                                                                          </w:t>
      </w:r>
      <w:r w:rsidR="00451B59" w:rsidRPr="00D94429">
        <w:rPr>
          <w:rFonts w:ascii="Liberation Serif" w:hAnsi="Liberation Serif" w:cs="Liberation Serif"/>
          <w:sz w:val="25"/>
          <w:szCs w:val="25"/>
        </w:rPr>
        <w:t>А.А.</w:t>
      </w:r>
      <w:r>
        <w:rPr>
          <w:rFonts w:ascii="Liberation Serif" w:hAnsi="Liberation Serif" w:cs="Liberation Serif"/>
          <w:sz w:val="25"/>
          <w:szCs w:val="25"/>
        </w:rPr>
        <w:t xml:space="preserve"> </w:t>
      </w:r>
      <w:r w:rsidR="00451B59" w:rsidRPr="00D94429">
        <w:rPr>
          <w:rFonts w:ascii="Liberation Serif" w:hAnsi="Liberation Serif" w:cs="Liberation Serif"/>
          <w:sz w:val="25"/>
          <w:szCs w:val="25"/>
        </w:rPr>
        <w:t>Б</w:t>
      </w:r>
      <w:r>
        <w:rPr>
          <w:rFonts w:ascii="Liberation Serif" w:hAnsi="Liberation Serif" w:cs="Liberation Serif"/>
          <w:sz w:val="25"/>
          <w:szCs w:val="25"/>
        </w:rPr>
        <w:t>ерчук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923E08" w:rsidRDefault="00451B59" w:rsidP="00923E08">
      <w:pPr>
        <w:pStyle w:val="ConsPlusNormal"/>
        <w:ind w:left="5670"/>
        <w:outlineLvl w:val="0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У</w:t>
      </w:r>
      <w:r w:rsidR="00923E08">
        <w:rPr>
          <w:rFonts w:ascii="Liberation Serif" w:hAnsi="Liberation Serif" w:cs="Liberation Serif"/>
          <w:sz w:val="25"/>
          <w:szCs w:val="25"/>
        </w:rPr>
        <w:t>ТВЕРЖДЕНО</w:t>
      </w:r>
    </w:p>
    <w:p w:rsidR="00923E08" w:rsidRDefault="00451B59" w:rsidP="00923E08">
      <w:pPr>
        <w:pStyle w:val="ConsPlusNormal"/>
        <w:ind w:left="5670"/>
        <w:outlineLvl w:val="0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Постановлением администрации</w:t>
      </w:r>
    </w:p>
    <w:p w:rsidR="00923E08" w:rsidRDefault="00451B59" w:rsidP="00923E08">
      <w:pPr>
        <w:pStyle w:val="ConsPlusNormal"/>
        <w:ind w:left="5670"/>
        <w:outlineLvl w:val="0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Невьянского городского округа</w:t>
      </w:r>
    </w:p>
    <w:p w:rsidR="00451B59" w:rsidRDefault="00451B59" w:rsidP="00923E08">
      <w:pPr>
        <w:pStyle w:val="ConsPlusNormal"/>
        <w:ind w:left="5670"/>
        <w:outlineLvl w:val="0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от 11 августа 2023 г.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1504-п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bookmarkStart w:id="2" w:name="P31"/>
      <w:bookmarkEnd w:id="2"/>
      <w:r w:rsidRPr="00D94429">
        <w:rPr>
          <w:rFonts w:ascii="Liberation Serif" w:hAnsi="Liberation Serif" w:cs="Liberation Serif"/>
          <w:sz w:val="25"/>
          <w:szCs w:val="25"/>
        </w:rPr>
        <w:t>ПОЛОЖЕНИЕ</w:t>
      </w: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О МУНИЦИПАЛЬНОЙ АВТОМАТИЗИРОВАННОЙ СИСТЕМЕ</w:t>
      </w: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ЦЕНТРАЛЬНОГО ОПОВЕЩЕНИЯ НА ТЕРРИТОРИИ</w:t>
      </w: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НЕВЬЯНСКОГО ГОРОДСКОГО ОКРУГА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Title"/>
        <w:jc w:val="center"/>
        <w:outlineLvl w:val="1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1. ОБЩИЕ ПОЛОЖЕНИЯ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1. Положение о муниципальной автоматизированной системе центрального оповещения на территории Невьянского городского округа разработано в соответствии с Федеральными законами Российской Федерации от 21 декабря 1994 года </w:t>
      </w:r>
      <w:hyperlink r:id="rId12">
        <w:r w:rsidR="004D3FE5">
          <w:rPr>
            <w:rFonts w:ascii="Liberation Serif" w:hAnsi="Liberation Serif" w:cs="Liberation Serif"/>
            <w:color w:val="0000FF"/>
            <w:sz w:val="25"/>
            <w:szCs w:val="25"/>
          </w:rPr>
          <w:t>№</w:t>
        </w:r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 xml:space="preserve"> 68-ФЗ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</w:t>
      </w:r>
      <w:r w:rsidR="004D3FE5">
        <w:rPr>
          <w:rFonts w:ascii="Liberation Serif" w:hAnsi="Liberation Serif" w:cs="Liberation Serif"/>
          <w:sz w:val="25"/>
          <w:szCs w:val="25"/>
        </w:rPr>
        <w:br/>
        <w:t>«</w:t>
      </w:r>
      <w:r w:rsidRPr="00D94429">
        <w:rPr>
          <w:rFonts w:ascii="Liberation Serif" w:hAnsi="Liberation Serif" w:cs="Liberation Serif"/>
          <w:sz w:val="25"/>
          <w:szCs w:val="25"/>
        </w:rPr>
        <w:t>О защите населения и территорий от чрезвычайных ситуаций природного и техногенного характера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; от 12 февраля 1998 года </w:t>
      </w:r>
      <w:hyperlink r:id="rId13">
        <w:r w:rsidR="004D3FE5">
          <w:rPr>
            <w:rFonts w:ascii="Liberation Serif" w:hAnsi="Liberation Serif" w:cs="Liberation Serif"/>
            <w:color w:val="0000FF"/>
            <w:sz w:val="25"/>
            <w:szCs w:val="25"/>
          </w:rPr>
          <w:t>№</w:t>
        </w:r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 xml:space="preserve"> 28-ФЗ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О гражданской обороне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совместного </w:t>
      </w:r>
      <w:hyperlink r:id="rId14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Приказа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Ми</w:t>
      </w:r>
      <w:r w:rsidRPr="00D94429">
        <w:rPr>
          <w:rFonts w:ascii="Liberation Serif" w:hAnsi="Liberation Serif" w:cs="Liberation Serif"/>
          <w:sz w:val="25"/>
          <w:szCs w:val="25"/>
        </w:rPr>
        <w:lastRenderedPageBreak/>
        <w:t xml:space="preserve">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 года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578/365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Об утверждении Положения о системах оповещения населения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, </w:t>
      </w:r>
      <w:hyperlink r:id="rId15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Указом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Президента Российской Федерации от 20 декабря 2016 года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696 </w:t>
      </w:r>
      <w:r w:rsidR="004D3FE5">
        <w:rPr>
          <w:rFonts w:ascii="Liberation Serif" w:hAnsi="Liberation Serif" w:cs="Liberation Serif"/>
          <w:sz w:val="25"/>
          <w:szCs w:val="25"/>
        </w:rPr>
        <w:br/>
        <w:t>«</w:t>
      </w:r>
      <w:r w:rsidRPr="00D94429">
        <w:rPr>
          <w:rFonts w:ascii="Liberation Serif" w:hAnsi="Liberation Serif" w:cs="Liberation Serif"/>
          <w:sz w:val="25"/>
          <w:szCs w:val="25"/>
        </w:rPr>
        <w:t>Об утверждении основ государственной политики Российской Федерации в области гражданской обороны на период до 2030 года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для координации деятельности по выполнению мероприятий, направленных на создание и поддержание в состоянии постоянной готовности систем оповещения населения.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2. Настоящее положение определяет назначение, задачи и требования к муниципальной автоматизированной системе централизованного оповещения Невьянского городского округа (далее - муниципальная система оповещения), порядок ее использования и поддержания в состоянии постоянной готовности.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3. Муниципальная система оповещения введена в постоянную эксплуатацию Постановлением администрации Невьянского городского округа от 10.06.2019 </w:t>
      </w:r>
      <w:r w:rsidR="004D3FE5">
        <w:rPr>
          <w:rFonts w:ascii="Liberation Serif" w:hAnsi="Liberation Serif" w:cs="Liberation Serif"/>
          <w:sz w:val="25"/>
          <w:szCs w:val="25"/>
        </w:rPr>
        <w:t>№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906-п </w:t>
      </w:r>
      <w:r w:rsidR="004D3FE5">
        <w:rPr>
          <w:rFonts w:ascii="Liberation Serif" w:hAnsi="Liberation Serif" w:cs="Liberation Serif"/>
          <w:sz w:val="25"/>
          <w:szCs w:val="25"/>
        </w:rPr>
        <w:br/>
        <w:t>«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О вводе в эксплуатацию муниципальной системы оповещения населения Невьянского городского округа на базе комплекса программно-технических средств оповещения </w:t>
      </w:r>
      <w:r w:rsidR="004D3FE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Грифон</w:t>
      </w:r>
      <w:r w:rsidR="004D3FE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4. На территории Невьянского городского округа создаются следующие системы оповещения населения (далее - системы оповещения):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Региональная система оповещения;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Муниципальная система оповещения;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Локальные системы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5. Муниципальная система оповещения: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подключена к региональной автоматизированной системе централизованного оповещения Свердловской области (далее - региональная система оповещения);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обеспечивает доведение до населения Невьянского городского округа (далее - население), органов управления и сил гражданской обороной (далее - ГО) и городского звена Свердловской областной подсистемы единой государственной системы предупреждения и ликвидации чрезвычайных ситуаций (далее - РСЧС) сигналов оповещения и (или) экстренной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3) состоит из взаимодействующих элементов, включающих в себя специальные программно-технические средства оповещения, громкоговорящие средства на подвижных объектах, автономные, мобильные и носимые средств оповещения;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4) локальные системы оповещения и информирования в </w:t>
      </w:r>
      <w:r w:rsidRPr="00D94429">
        <w:rPr>
          <w:rFonts w:ascii="Liberation Serif" w:hAnsi="Liberation Serif" w:cs="Liberation Serif"/>
          <w:sz w:val="25"/>
          <w:szCs w:val="25"/>
        </w:rPr>
        <w:lastRenderedPageBreak/>
        <w:t>районах размещения потенциально опасных объектов.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6. Состав оборудования муниципальной и локальных систем оповещения определяется проектной документацией соответствующих систем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7. Создание муниципальной системы оповещения возлагается на отдел гражданской защиты и мобилизационной работы администрации Невьянского городского округа. Локальные системы оповещения создают организации, эксплуатирующие опасные производственные объекты I и II классов опасности, особо </w:t>
      </w:r>
      <w:proofErr w:type="spellStart"/>
      <w:r w:rsidRPr="00D94429">
        <w:rPr>
          <w:rFonts w:ascii="Liberation Serif" w:hAnsi="Liberation Serif" w:cs="Liberation Serif"/>
          <w:sz w:val="25"/>
          <w:szCs w:val="25"/>
        </w:rPr>
        <w:t>радиационно</w:t>
      </w:r>
      <w:proofErr w:type="spellEnd"/>
      <w:r w:rsidRPr="00D94429">
        <w:rPr>
          <w:rFonts w:ascii="Liberation Serif" w:hAnsi="Liberation Serif" w:cs="Liberation Serif"/>
          <w:sz w:val="25"/>
          <w:szCs w:val="25"/>
        </w:rPr>
        <w:t xml:space="preserve"> опасные и </w:t>
      </w:r>
      <w:proofErr w:type="spellStart"/>
      <w:r w:rsidRPr="00D94429">
        <w:rPr>
          <w:rFonts w:ascii="Liberation Serif" w:hAnsi="Liberation Serif" w:cs="Liberation Serif"/>
          <w:sz w:val="25"/>
          <w:szCs w:val="25"/>
        </w:rPr>
        <w:t>ядерно</w:t>
      </w:r>
      <w:proofErr w:type="spellEnd"/>
      <w:r w:rsidRPr="00D94429">
        <w:rPr>
          <w:rFonts w:ascii="Liberation Serif" w:hAnsi="Liberation Serif" w:cs="Liberation Serif"/>
          <w:sz w:val="25"/>
          <w:szCs w:val="25"/>
        </w:rPr>
        <w:t xml:space="preserve"> опасные производства и объекты, последствия аварий на которых могут причинить вред жизни и здоровью населения, проживающего или осуществляющего хозяйственную деятельность в зонах воздействия поражающих факторов за пределами территорий таких организаций, гидротехнические сооружения чрезвычайно высокой опасности и гидротехнические сооружения высокой опасности.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8. Границами зон действия муниципальной системы оповещения являются административные границы Невьянского городского округа. Границами зоны действия локальных систем оповещения являются границы территории (зоны) воздействия поражающих факторов, определяемых в соответствии с законодательством Российской Федерации.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9. На системы оповещения оформляются паспорта, которые должны ежегодно актуализироваться. Оформление и уточнение паспорта муниципальной системы оповещения осуществляет отдел гражданской защиты и мобилизационной работы администрации Невьянского городского округа.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10. На территориях (в зонах) Невьянского городского округа, подверженных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людей, создаются комплексные системы экстренного оповещения населения об угрозе возникновения или возникновении чрезвычайных ситуаций (далее - КСЭОН) в соответствии с законодательством Российской Федерации и законодательством Свердловской области.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11. Создание и поддержание в состоянии постоянной готовности систем оповещения является составной частью комплекса мероприятий, по подготовке и ведению ГО, предупреждению и ликвидации чрезвычайных ситуаций.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Title"/>
        <w:jc w:val="center"/>
        <w:outlineLvl w:val="1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2. НАЗНАЧЕНИЕ И ОСНОВНЫЕ ЗАДАЧИ СИСТЕМ ОПОВЕЩЕНИЯ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12. Системы оповещения населения предназначены для </w:t>
      </w:r>
      <w:r w:rsidRPr="00D94429">
        <w:rPr>
          <w:rFonts w:ascii="Liberation Serif" w:hAnsi="Liberation Serif" w:cs="Liberation Serif"/>
          <w:sz w:val="25"/>
          <w:szCs w:val="25"/>
        </w:rPr>
        <w:lastRenderedPageBreak/>
        <w:t>обеспечения доведения сигналов оповещения и экстренной информации до населения, органов управления и сил ГО и РСЧС.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13. Основной задачей муниципальной системы оповещения является обеспечение доведения сигналов оповещения и экстренной информации до: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руководящего состава ГО и звена территориальной подсистемы РСЧС Невьянского городского округа;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сил ГО и звена территориальной подсистемы РСЧС Невьянского городского округа;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3) дежурных (дежурно-диспетчерских) (далее - ДДС) служб: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экстренных оперативных служб Невьянского городского округа;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организаций, эксплуатирующих потенциально опасные производственные объекты и объектов жизнеобеспечения на территории Невьянского городского округа;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социально значимых объектов;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4) людей, находящихся на территории Невьянского городского округа.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14. Основной задачей локальной системы оповещения является обеспечение доведения сигналов оповещения и экстренной информации до: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руководящего состава ГО, объектового звена РСЧС и персонала организации, эксплуатирующей объект, производство, гидротехническое сооружение;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объектовых аварийно-спасательных формирований, в том числе специализированных;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3) Муниципального казенного учреждения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Единая дежурно-диспетчерская служба Невьянского городского округа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(далее - 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);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4) руководителей и дежурных служб организаций, расположенных в границах зоны действия локальной системы оповещения;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5) людей, находящихся в границах зоны действия локальной системы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15. 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РСЧС различных уровней.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16. Документирование выполнения техническими средствами оповещения действий (процессов, функций, алгоритмов) в ходе оповещения населения (проверки системы оповещения населения) осуществляется на бумажном и электронном (USB-накопитель, жесткий диск, оптический диск) носителях. Срок хранения информации документирования составляет не </w:t>
      </w:r>
      <w:r w:rsidRPr="00D94429">
        <w:rPr>
          <w:rFonts w:ascii="Liberation Serif" w:hAnsi="Liberation Serif" w:cs="Liberation Serif"/>
          <w:sz w:val="25"/>
          <w:szCs w:val="25"/>
        </w:rPr>
        <w:lastRenderedPageBreak/>
        <w:t>менее трех лет. Порядок хранения информации документирования определяется руководителями организаций, эксплуатирующих системы оповещения.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Title"/>
        <w:jc w:val="center"/>
        <w:outlineLvl w:val="1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3. ПОРЯДОК ЗАДЕЙСТВОВАНИЯ СИСТЕМ ОПОВЕЩЕНИЯ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17. Использование систем оповещения на территории Невьянского городского округа планируется и осуществляется в соответствии с положением о муниципальной автоматизированной системе централизованного оповещения населения Невьянского городского округа, планами гражданской обороны и защиты населения (планами гражданской обороны) и планами действий по предупреждению и ликвидации чрезвычайных ситуаций, разрабатываемыми органами специально уполномоченного на решение задач в области ГОЧС Невьянского городского округа, организациями.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18. Решение об использовании систем оповещения принимается: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Главой Невьянского городского округа (исполняющим обязанности главы Невьянского городского округа);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руководителями организаций, эксплуатирующих потенциально опасные объекты - в отношении локальных систем оповещения. В исключительных, не терпящих отлагательства случаях решение об использовании локальной системы оповещения может быть принято дежурным диспетчером потенциально опасного объекта.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19. Оперативный дежурный 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при получении сигналов оповещения и (или) экстренной информации подтверждают получение и немедленно доводят их до руководящего состава администрации Невьянского городского округа, сил ГО и городского звена Свердловской областной подсистемы РСЧС, ДДС экстренных оперативных служб Невьянского городского округа, ДДС организаций, эксплуатирующих потенциально опасные производственные объекты, объекты жизнеобеспечения и социально значимые объекты на территории Невьянского городского округа, в установленном порядке.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20. При получении сигналов оповещения и (или) экстренной информации ДДС экстренных оперативных служб Невьянского городского округа, ДДС организаций, эксплуатирующих потенциально опасные производственные объекты, объекты жизнеобеспечения и социально значимые объекты на территории Невьянского городского округа подтверждают получение сигналов (распоряжений) и доводят их до своего руководящего состава.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lastRenderedPageBreak/>
        <w:t>21. Передача сигналов оповещения и экстренной информации может осуществляться в автоматическом, автоматизированном либо ручном режимах функционирования систем оповещения. Основной режим функционирования муниципальной системы оповещения - автоматизированный.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В соответствии с положениями о системах оповещения разрабатываются инструкции ДДС служб организаций, эксплуатирующих потенциально опасные объекты, организаций связи, операторов связи и организаций телерадиовещания, которые утверждаются их руководителями и согласовываются с органом, специально уполномоченным на решение задач в области защиты населения и территорий от чрезвычайных ситуаций и (или) гражданской обороны Невьянского городского округа.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Использование муниципальной системы оповещения и направление заявок операторам связи и в редакции СМИ по выпуску в эфир (публикаций) сигналов оповещения и (или) экстренной информации осуществляются оперативным дежурным 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Передача сигналов оповещения и экстренной информации населению осуществляется подачей сигнала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ВНИМАНИЕ ВСЕМ!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 путем включения сетей электрических, электронных сирен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Допускается трехкратное повторение этих сообщений (для сетей подвижной радиотелефонной связи повтор передачи сообщения осуществляется не ранее, чем закончится передача предыдущего сообщения).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Передача речевой информации должна осуществляться профессиональными дикторами, в случае их отсутствия - работниками, в должностные обязанности которых включена передача речевой информации.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В исключительных, не терпящих отлагательства случаях допускается передача с целью оповещения кратких речевых сообщений способом прямой передачи или с использованием звуковых файлов, записанных непосредственно с рабочего места оперативного дежурного 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22. Допускается передача информации и сигналов оповещения с рабочих мест дежурного персонала радиовещательных </w:t>
      </w:r>
      <w:r w:rsidRPr="00D94429">
        <w:rPr>
          <w:rFonts w:ascii="Liberation Serif" w:hAnsi="Liberation Serif" w:cs="Liberation Serif"/>
          <w:sz w:val="25"/>
          <w:szCs w:val="25"/>
        </w:rPr>
        <w:lastRenderedPageBreak/>
        <w:t xml:space="preserve">и телевизионных передающих станций. Ответственность за организацию своевременного оповещения и информирования населения возлагается на 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 xml:space="preserve">. Ответственность за осуществление своевременного оповещения и информирования населения возлагается на </w:t>
      </w:r>
      <w:r w:rsidR="00B53945">
        <w:rPr>
          <w:rFonts w:ascii="Liberation Serif" w:hAnsi="Liberation Serif" w:cs="Liberation Serif"/>
          <w:sz w:val="25"/>
          <w:szCs w:val="25"/>
        </w:rPr>
        <w:br/>
      </w:r>
      <w:r w:rsidRPr="00D94429">
        <w:rPr>
          <w:rFonts w:ascii="Liberation Serif" w:hAnsi="Liberation Serif" w:cs="Liberation Serif"/>
          <w:sz w:val="25"/>
          <w:szCs w:val="25"/>
        </w:rPr>
        <w:t xml:space="preserve">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 Для оповещения и информирования населения в районах размещения потенциально опасных объектов используются локальные системы оповещения, которые предназначены для своевременного доведения до проживающего в зоне ее действия населения, работающих смен потенциально опасных объектов и других организаций в зоне ее действия, сигнала "Внимание! Всем!" и информации об угрозе возникновения чрезвычайной ситуации, а также информации о развитии событий и рекомендаций по дальнейшим действиям.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23. </w:t>
      </w:r>
      <w:r w:rsidR="00B53945" w:rsidRPr="00D94429">
        <w:rPr>
          <w:rFonts w:ascii="Liberation Serif" w:hAnsi="Liberation Serif" w:cs="Liberation Serif"/>
          <w:sz w:val="25"/>
          <w:szCs w:val="25"/>
        </w:rPr>
        <w:t xml:space="preserve">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="00B53945"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, организации, в ведении которых находятся системы оповещения, организации связи, операторы связи, организации телерадиовещания и редакции СМИ проводят комплекс организационно-технических мероприятий по исключению несанкционированного использования систем оповещения и передачи сигналов оповещения и экстренной информации.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24. Использование радиотрансляционных сетей, радиовещательных станций, проводного вещания (независимо от форм собственности) на территории Невьянского городского округа с перерывом трансляции вещательной программы осуществляется только для оповещения и информирования населения об угрозе возникновения или при возникновении чрезвычайных ситуаций.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25. Тексты сообщений для оповещения и информирования населения на территории Невьянского городского округа, видеоролики, передаваемые с использованием ОКСИОН (специализированных технических средств оповещения и информирования), разрабатывает </w:t>
      </w:r>
      <w:r w:rsidR="00B53945" w:rsidRPr="00D94429">
        <w:rPr>
          <w:rFonts w:ascii="Liberation Serif" w:hAnsi="Liberation Serif" w:cs="Liberation Serif"/>
          <w:sz w:val="25"/>
          <w:szCs w:val="25"/>
        </w:rPr>
        <w:t xml:space="preserve">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="00B53945"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Title"/>
        <w:jc w:val="center"/>
        <w:outlineLvl w:val="1"/>
        <w:rPr>
          <w:rFonts w:ascii="Liberation Serif" w:hAnsi="Liberation Serif" w:cs="Liberation Serif"/>
          <w:sz w:val="25"/>
          <w:szCs w:val="25"/>
        </w:rPr>
      </w:pPr>
      <w:bookmarkStart w:id="3" w:name="_GoBack"/>
      <w:bookmarkEnd w:id="3"/>
      <w:r w:rsidRPr="00D94429">
        <w:rPr>
          <w:rFonts w:ascii="Liberation Serif" w:hAnsi="Liberation Serif" w:cs="Liberation Serif"/>
          <w:sz w:val="25"/>
          <w:szCs w:val="25"/>
        </w:rPr>
        <w:t>4. ПОДДЕРЖАНИЕ В ГОТОВНОСТИ СИСТЕМ ОПОВЕЩЕНИЯ НАСЕЛЕНИЯ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26. Муниципальная и локальные системы оповещения создаются (модернизируются), совершенствуются, поддерживаются в работоспособном состоянии и постоянной готовности к использованию в соответствии с законодательством Российской Федерации.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lastRenderedPageBreak/>
        <w:t>27. Работоспособное состояние системы оповещения означает ее исправность.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С целью контроля за поддержанием в постоянной готовности (далее - готовность) систем оповещения на территории Невьянского городского округа организуются и проводятся следующие виды проверок: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технические проверки готовности к использованию систем оповещения населения без включения оконечных средств оповещения населения.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При проведении комплексной проверки готовности систем оповещения проверке подлежат муниципальные системы оповещения, локальные системы оповещения и КСЭОН. Комплексные проверки готовности систем оповещения проводятся два раза в год. Состав комиссий по проверке систем оповещения определяется правовыми актами органов и организаций, создающих системы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По решению комиссий по предупреждению и ликвидации чрезвычайных ситуаций и обеспечению пожарной безопасности соответствующего уровня могут проводиться дополнительные комплексные проверки.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28. Поддержание технических средств оповещения систем оповещения в работоспособном состоянии включает в себя комплекс мероприятий по эксплуатационно-техническому обслуживанию систем оповещения (далее - ЭТО).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29. Задачами ЭТО являются: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предупреждение преждевременного износа механических элементов и отклонения электрических параметров технических средств оповещения (далее - ТСО) от норм, установленных эксплуатационно-технической документацией (далее - ЭТД);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устранение неисправностей путем проведения текущего ремонта ТСО;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3) доведение параметров и характеристик ТСО до норм, установленных ЭТД;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4) анализ и устранение причин возникновения неисправностей;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5) продление сроков службы ТСО.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30. К мероприятиям ЭТО относятся: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планирование ЭТО;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техническое обслуживание и текущий ремонт ТСО;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3) оценка технического состояния систем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Оценка технического состояния систем оповещения, а также ЭТО планируется и осуществляется в соответствии с </w:t>
      </w:r>
      <w:hyperlink r:id="rId16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Приказом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МЧС России и </w:t>
      </w:r>
      <w:proofErr w:type="spellStart"/>
      <w:r w:rsidRPr="00D94429">
        <w:rPr>
          <w:rFonts w:ascii="Liberation Serif" w:hAnsi="Liberation Serif" w:cs="Liberation Serif"/>
          <w:sz w:val="25"/>
          <w:szCs w:val="25"/>
        </w:rPr>
        <w:t>Минцифры</w:t>
      </w:r>
      <w:proofErr w:type="spellEnd"/>
      <w:r w:rsidRPr="00D94429">
        <w:rPr>
          <w:rFonts w:ascii="Liberation Serif" w:hAnsi="Liberation Serif" w:cs="Liberation Serif"/>
          <w:sz w:val="25"/>
          <w:szCs w:val="25"/>
        </w:rPr>
        <w:t xml:space="preserve"> России </w:t>
      </w:r>
      <w:r w:rsidR="00663C03">
        <w:rPr>
          <w:rFonts w:ascii="Liberation Serif" w:hAnsi="Liberation Serif" w:cs="Liberation Serif"/>
          <w:sz w:val="25"/>
          <w:szCs w:val="25"/>
        </w:rPr>
        <w:br/>
      </w:r>
      <w:r w:rsidRPr="00D94429">
        <w:rPr>
          <w:rFonts w:ascii="Liberation Serif" w:hAnsi="Liberation Serif" w:cs="Liberation Serif"/>
          <w:sz w:val="25"/>
          <w:szCs w:val="25"/>
        </w:rPr>
        <w:t>от 31.07.2020 N 579/366 "Об утверждении Положения по организации эксплуатационно-технического обслуживания систем оповещения населения".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31. В целях обеспечения готовности муниципальной системы оповещения: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1) Отдел гражданской защиты и мобилизационной работы администрации Невьянского городского округа: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разрабатывает планы проведения проверки оповещения, тренировки по передаче сигналов оповещения и речевой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разрабатывает списки оповещения руководящего состава ГО и звена территориальной подсистемы РСЧС Невьянского городского округа;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проводит анализ проведенных тренировок по передаче сигналов оповещения и речевой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оказывает содействие ГУ МЧС России по Свердловской области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Невьянского городского округа о чрезвычайных ситуациях и подготовки населения в области защиты от чрезвычайных ситуаций;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2) </w:t>
      </w:r>
      <w:r w:rsidR="00B53945" w:rsidRPr="00D94429">
        <w:rPr>
          <w:rFonts w:ascii="Liberation Serif" w:hAnsi="Liberation Serif" w:cs="Liberation Serif"/>
          <w:sz w:val="25"/>
          <w:szCs w:val="25"/>
        </w:rPr>
        <w:t xml:space="preserve">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="00B53945"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организует подготовку оперативных дежурных и персонала по передаче сигналов оповещения и речевой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проводит совместно с организациями, в ведении которых находятся локальные системы оповещения и организациями телерадиовещания проверки оповещения, тренировки по передаче сигналов оповещения и речевой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разрабатывает совместно с организациями телерадиовещания порядок взаимодействия дежурных (дежурно-диспетчерских) служб при передаче сигналов оповещения и речевой информации;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организует эксплуатационно-техническое обслуживание ТСО муниципальной системы оповещения;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- организует и осуществляет ремонт ТСО.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32. Техническое обслуживание и технические проверки аппаратуры муниципальной системы оповещения осуществляются в соответствии с планом-графиком. План-график технического обслуживания разрабатывается организацией, осуществляющей ЭТО, и утверждается </w:t>
      </w:r>
      <w:r w:rsidR="00B53945" w:rsidRPr="00D94429">
        <w:rPr>
          <w:rFonts w:ascii="Liberation Serif" w:hAnsi="Liberation Serif" w:cs="Liberation Serif"/>
          <w:sz w:val="25"/>
          <w:szCs w:val="25"/>
        </w:rPr>
        <w:t xml:space="preserve">МКУ </w:t>
      </w:r>
      <w:r w:rsidR="00B53945">
        <w:rPr>
          <w:rFonts w:ascii="Liberation Serif" w:hAnsi="Liberation Serif" w:cs="Liberation Serif"/>
          <w:sz w:val="25"/>
          <w:szCs w:val="25"/>
        </w:rPr>
        <w:t>«</w:t>
      </w:r>
      <w:r w:rsidR="00B53945" w:rsidRPr="00D94429">
        <w:rPr>
          <w:rFonts w:ascii="Liberation Serif" w:hAnsi="Liberation Serif" w:cs="Liberation Serif"/>
          <w:sz w:val="25"/>
          <w:szCs w:val="25"/>
        </w:rPr>
        <w:t>ЕДДС НГО</w:t>
      </w:r>
      <w:r w:rsidR="00B53945">
        <w:rPr>
          <w:rFonts w:ascii="Liberation Serif" w:hAnsi="Liberation Serif" w:cs="Liberation Serif"/>
          <w:sz w:val="25"/>
          <w:szCs w:val="25"/>
        </w:rPr>
        <w:t>»</w:t>
      </w:r>
      <w:r w:rsidRPr="00D94429">
        <w:rPr>
          <w:rFonts w:ascii="Liberation Serif" w:hAnsi="Liberation Serif" w:cs="Liberation Serif"/>
          <w:sz w:val="25"/>
          <w:szCs w:val="25"/>
        </w:rPr>
        <w:t>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33. Основные технические проверки включают в себя: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lastRenderedPageBreak/>
        <w:t>1) передачу текста "Техническая проверка" с помощью аппаратно-программного комплекса "Грифон";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2) техническую проверку готовности к использованию систем оповещения населения без включения оконечных средств оповещения населения - каждую четвертую среду месяца календарного года (кроме марта, октября);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3) комплексные проверки готовности систем оповещения с включением оконечных средств оповещения и доведением проверочных сигналов и информации до населения - в первую среду марта и октября.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Перед проведением всех проверок проводится комплекс организационно-технических мероприятий с целью исключения несанкционированного запуска систем оповещения.</w:t>
      </w:r>
    </w:p>
    <w:p w:rsidR="00451B59" w:rsidRPr="00D9442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 xml:space="preserve">34. Для обеспечения оповещения максимального количества людей, попавших в зону чрезвычайной ситуации, в том числе на территориях, не охваченных автоматизированными системами централизованного оповещения, создается резерв технических средств оповещения (стационарных и мобильных) в соответствии с </w:t>
      </w:r>
      <w:hyperlink w:anchor="P150">
        <w:r w:rsidRPr="00D94429">
          <w:rPr>
            <w:rFonts w:ascii="Liberation Serif" w:hAnsi="Liberation Serif" w:cs="Liberation Serif"/>
            <w:color w:val="0000FF"/>
            <w:sz w:val="25"/>
            <w:szCs w:val="25"/>
          </w:rPr>
          <w:t>номенклатурой</w:t>
        </w:r>
      </w:hyperlink>
      <w:r w:rsidRPr="00D94429">
        <w:rPr>
          <w:rFonts w:ascii="Liberation Serif" w:hAnsi="Liberation Serif" w:cs="Liberation Serif"/>
          <w:sz w:val="25"/>
          <w:szCs w:val="25"/>
        </w:rPr>
        <w:t xml:space="preserve"> резерва технических средств оповещения по форме согласно приложению.</w:t>
      </w:r>
    </w:p>
    <w:p w:rsidR="00451B59" w:rsidRDefault="00451B59" w:rsidP="00451B59">
      <w:pPr>
        <w:pStyle w:val="ConsPlusNormal"/>
        <w:ind w:firstLine="540"/>
        <w:jc w:val="both"/>
        <w:rPr>
          <w:rFonts w:ascii="Liberation Serif" w:hAnsi="Liberation Serif" w:cs="Liberation Serif"/>
          <w:sz w:val="25"/>
          <w:szCs w:val="25"/>
        </w:rPr>
      </w:pPr>
      <w:r w:rsidRPr="00D94429">
        <w:rPr>
          <w:rFonts w:ascii="Liberation Serif" w:hAnsi="Liberation Serif" w:cs="Liberation Serif"/>
          <w:sz w:val="25"/>
          <w:szCs w:val="25"/>
        </w:rPr>
        <w:t>Запасы мобильных (переносных) средств оповещения создаются и поддерживаются в готовности к задействованию на муниципальном и объектовом уровне управления в соответствии с решением Главы Невьянского городского округа или руководителя объекта экономики соответственно.</w:t>
      </w: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94429" w:rsidRPr="00D94429" w:rsidRDefault="00D94429" w:rsidP="00D94429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451B59" w:rsidRPr="00D94429" w:rsidRDefault="00451B59" w:rsidP="00431486">
      <w:pPr>
        <w:pStyle w:val="ConsPlusNormal"/>
        <w:jc w:val="both"/>
        <w:rPr>
          <w:rFonts w:ascii="Liberation Serif" w:hAnsi="Liberation Serif" w:cs="Liberation Serif"/>
          <w:sz w:val="25"/>
          <w:szCs w:val="25"/>
        </w:rPr>
      </w:pPr>
    </w:p>
    <w:p w:rsidR="00DB19B8" w:rsidRPr="00D94429" w:rsidRDefault="00DB19B8" w:rsidP="00DB19B8">
      <w:pPr>
        <w:pStyle w:val="ConsPlusNormal"/>
        <w:ind w:left="5103"/>
        <w:rPr>
          <w:rFonts w:ascii="Liberation Serif" w:hAnsi="Liberation Serif" w:cs="Liberation Serif"/>
          <w:sz w:val="25"/>
          <w:szCs w:val="25"/>
          <w:highlight w:val="yellow"/>
        </w:rPr>
      </w:pPr>
      <w:r w:rsidRPr="00D94429">
        <w:rPr>
          <w:rFonts w:ascii="Liberation Serif" w:hAnsi="Liberation Serif" w:cs="Liberation Serif"/>
          <w:sz w:val="25"/>
          <w:szCs w:val="25"/>
          <w:highlight w:val="yellow"/>
        </w:rPr>
        <w:t xml:space="preserve">Приложение </w:t>
      </w:r>
    </w:p>
    <w:p w:rsidR="00451B59" w:rsidRPr="00D94429" w:rsidRDefault="00DB19B8" w:rsidP="00DB19B8">
      <w:pPr>
        <w:pStyle w:val="ConsPlusNormal"/>
        <w:ind w:left="5103"/>
        <w:rPr>
          <w:rFonts w:ascii="Liberation Serif" w:hAnsi="Liberation Serif" w:cs="Liberation Serif"/>
          <w:sz w:val="25"/>
          <w:szCs w:val="25"/>
          <w:highlight w:val="yellow"/>
        </w:rPr>
      </w:pPr>
      <w:r w:rsidRPr="00D94429">
        <w:rPr>
          <w:rFonts w:ascii="Liberation Serif" w:hAnsi="Liberation Serif" w:cs="Liberation Serif"/>
          <w:sz w:val="25"/>
          <w:szCs w:val="25"/>
          <w:highlight w:val="yellow"/>
        </w:rPr>
        <w:t xml:space="preserve">к </w:t>
      </w:r>
      <w:r w:rsidRPr="00D94429">
        <w:rPr>
          <w:rFonts w:ascii="Liberation Serif" w:hAnsi="Liberation Serif" w:cs="Liberation Serif"/>
          <w:sz w:val="25"/>
          <w:szCs w:val="25"/>
          <w:highlight w:val="yellow"/>
          <w:lang w:eastAsia="en-US"/>
        </w:rPr>
        <w:t xml:space="preserve">Положению о муниципальной автоматизированной системе центрального оповещения на </w:t>
      </w:r>
      <w:r w:rsidRPr="00D94429">
        <w:rPr>
          <w:rFonts w:ascii="Liberation Serif" w:hAnsi="Liberation Serif" w:cs="Liberation Serif"/>
          <w:sz w:val="25"/>
          <w:szCs w:val="25"/>
          <w:highlight w:val="yellow"/>
          <w:lang w:eastAsia="en-US"/>
        </w:rPr>
        <w:lastRenderedPageBreak/>
        <w:t xml:space="preserve">территории </w:t>
      </w:r>
      <w:r w:rsidRPr="00D94429">
        <w:rPr>
          <w:rFonts w:ascii="Liberation Serif" w:hAnsi="Liberation Serif" w:cs="Liberation Serif"/>
          <w:sz w:val="25"/>
          <w:szCs w:val="25"/>
          <w:highlight w:val="yellow"/>
        </w:rPr>
        <w:t>Невьянского городского округа</w:t>
      </w:r>
    </w:p>
    <w:p w:rsidR="00DB19B8" w:rsidRPr="00D94429" w:rsidRDefault="00DB19B8" w:rsidP="00D94429">
      <w:pPr>
        <w:pStyle w:val="ConsPlusNormal"/>
        <w:rPr>
          <w:rFonts w:ascii="Liberation Serif" w:hAnsi="Liberation Serif" w:cs="Liberation Serif"/>
          <w:sz w:val="25"/>
          <w:szCs w:val="25"/>
          <w:highlight w:val="yellow"/>
        </w:rPr>
      </w:pP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  <w:highlight w:val="yellow"/>
        </w:rPr>
      </w:pPr>
      <w:bookmarkStart w:id="4" w:name="P150"/>
      <w:bookmarkEnd w:id="4"/>
      <w:r w:rsidRPr="00D94429">
        <w:rPr>
          <w:rFonts w:ascii="Liberation Serif" w:hAnsi="Liberation Serif" w:cs="Liberation Serif"/>
          <w:sz w:val="25"/>
          <w:szCs w:val="25"/>
          <w:highlight w:val="yellow"/>
        </w:rPr>
        <w:t>НОМЕНКЛАТУРА</w:t>
      </w:r>
    </w:p>
    <w:p w:rsidR="00451B59" w:rsidRPr="00D94429" w:rsidRDefault="00451B59" w:rsidP="00451B59">
      <w:pPr>
        <w:pStyle w:val="ConsPlusTitle"/>
        <w:jc w:val="center"/>
        <w:rPr>
          <w:rFonts w:ascii="Liberation Serif" w:hAnsi="Liberation Serif" w:cs="Liberation Serif"/>
          <w:sz w:val="25"/>
          <w:szCs w:val="25"/>
          <w:highlight w:val="yellow"/>
        </w:rPr>
      </w:pPr>
      <w:r w:rsidRPr="00D94429">
        <w:rPr>
          <w:rFonts w:ascii="Liberation Serif" w:hAnsi="Liberation Serif" w:cs="Liberation Serif"/>
          <w:sz w:val="25"/>
          <w:szCs w:val="25"/>
          <w:highlight w:val="yellow"/>
        </w:rPr>
        <w:t>РЕЗЕРВА ТЕХНИЧЕСКИХ СРЕДСТВ ОПОВЕЩЕНИЯ</w:t>
      </w:r>
    </w:p>
    <w:p w:rsidR="00451B59" w:rsidRPr="00D94429" w:rsidRDefault="00451B59" w:rsidP="00451B59">
      <w:pPr>
        <w:pStyle w:val="ConsPlusNormal"/>
        <w:rPr>
          <w:rFonts w:ascii="Liberation Serif" w:hAnsi="Liberation Serif" w:cs="Liberation Serif"/>
          <w:sz w:val="25"/>
          <w:szCs w:val="25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DB19B8" w:rsidRPr="00D94429" w:rsidTr="009D0292">
        <w:tc>
          <w:tcPr>
            <w:tcW w:w="567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№</w:t>
            </w:r>
          </w:p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п/п</w:t>
            </w:r>
          </w:p>
        </w:tc>
        <w:tc>
          <w:tcPr>
            <w:tcW w:w="7030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Наименование технического средства оповещения</w:t>
            </w:r>
          </w:p>
        </w:tc>
        <w:tc>
          <w:tcPr>
            <w:tcW w:w="1474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Количество, шт.</w:t>
            </w:r>
          </w:p>
        </w:tc>
      </w:tr>
      <w:tr w:rsidR="00DB19B8" w:rsidRPr="00D94429" w:rsidTr="009D0292">
        <w:tc>
          <w:tcPr>
            <w:tcW w:w="567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1.</w:t>
            </w:r>
          </w:p>
        </w:tc>
        <w:tc>
          <w:tcPr>
            <w:tcW w:w="7030" w:type="dxa"/>
            <w:vAlign w:val="center"/>
          </w:tcPr>
          <w:p w:rsidR="00DB19B8" w:rsidRPr="00D94429" w:rsidRDefault="00DB19B8" w:rsidP="009D0292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Рупорный громкоговоритель (мегафон)</w:t>
            </w:r>
          </w:p>
        </w:tc>
        <w:tc>
          <w:tcPr>
            <w:tcW w:w="1474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2</w:t>
            </w:r>
          </w:p>
        </w:tc>
      </w:tr>
      <w:tr w:rsidR="00DB19B8" w:rsidRPr="00D94429" w:rsidTr="009D0292">
        <w:tc>
          <w:tcPr>
            <w:tcW w:w="567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2.</w:t>
            </w:r>
          </w:p>
        </w:tc>
        <w:tc>
          <w:tcPr>
            <w:tcW w:w="7030" w:type="dxa"/>
            <w:vAlign w:val="center"/>
          </w:tcPr>
          <w:p w:rsidR="00DB19B8" w:rsidRPr="00D94429" w:rsidRDefault="00DB19B8" w:rsidP="009D0292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Механическая сирена с ручным приводом (ревун)</w:t>
            </w:r>
          </w:p>
        </w:tc>
        <w:tc>
          <w:tcPr>
            <w:tcW w:w="1474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1</w:t>
            </w:r>
          </w:p>
        </w:tc>
      </w:tr>
      <w:tr w:rsidR="00DB19B8" w:rsidRPr="00D94429" w:rsidTr="009D0292">
        <w:tc>
          <w:tcPr>
            <w:tcW w:w="567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3.</w:t>
            </w:r>
          </w:p>
        </w:tc>
        <w:tc>
          <w:tcPr>
            <w:tcW w:w="7030" w:type="dxa"/>
            <w:vAlign w:val="center"/>
          </w:tcPr>
          <w:p w:rsidR="00DB19B8" w:rsidRPr="00D94429" w:rsidRDefault="00DB19B8" w:rsidP="009D0292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Радиостанция носимая ручная</w:t>
            </w:r>
          </w:p>
        </w:tc>
        <w:tc>
          <w:tcPr>
            <w:tcW w:w="1474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5</w:t>
            </w:r>
          </w:p>
        </w:tc>
      </w:tr>
      <w:tr w:rsidR="00DB19B8" w:rsidRPr="00D94429" w:rsidTr="009D0292">
        <w:tc>
          <w:tcPr>
            <w:tcW w:w="567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4.</w:t>
            </w:r>
          </w:p>
        </w:tc>
        <w:tc>
          <w:tcPr>
            <w:tcW w:w="7030" w:type="dxa"/>
            <w:vAlign w:val="center"/>
          </w:tcPr>
          <w:p w:rsidR="00DB19B8" w:rsidRPr="00D94429" w:rsidRDefault="00DB19B8" w:rsidP="009D0292">
            <w:pPr>
              <w:pStyle w:val="ConsPlusNormal"/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Электросирена С - 40</w:t>
            </w:r>
          </w:p>
        </w:tc>
        <w:tc>
          <w:tcPr>
            <w:tcW w:w="1474" w:type="dxa"/>
            <w:vAlign w:val="center"/>
          </w:tcPr>
          <w:p w:rsidR="00DB19B8" w:rsidRPr="00D94429" w:rsidRDefault="00DB19B8" w:rsidP="009D0292">
            <w:pPr>
              <w:pStyle w:val="ConsPlusNormal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D94429">
              <w:rPr>
                <w:rFonts w:ascii="Liberation Serif" w:hAnsi="Liberation Serif" w:cs="Liberation Serif"/>
                <w:sz w:val="25"/>
                <w:szCs w:val="25"/>
                <w:highlight w:val="yellow"/>
              </w:rPr>
              <w:t>1</w:t>
            </w:r>
          </w:p>
        </w:tc>
      </w:tr>
    </w:tbl>
    <w:p w:rsidR="00451B59" w:rsidRPr="00D94429" w:rsidRDefault="00451B59" w:rsidP="00451B59">
      <w:pPr>
        <w:pStyle w:val="ConsPlusNormal"/>
        <w:pBdr>
          <w:bottom w:val="single" w:sz="6" w:space="0" w:color="auto"/>
        </w:pBdr>
        <w:jc w:val="both"/>
        <w:rPr>
          <w:rFonts w:ascii="Liberation Serif" w:hAnsi="Liberation Serif" w:cs="Liberation Serif"/>
          <w:sz w:val="25"/>
          <w:szCs w:val="25"/>
        </w:rPr>
      </w:pPr>
    </w:p>
    <w:p w:rsidR="00E43687" w:rsidRPr="00D94429" w:rsidRDefault="00E43687" w:rsidP="00451B59">
      <w:pPr>
        <w:rPr>
          <w:rFonts w:ascii="Liberation Serif" w:hAnsi="Liberation Serif" w:cs="Liberation Serif"/>
          <w:sz w:val="25"/>
          <w:szCs w:val="25"/>
        </w:rPr>
      </w:pPr>
    </w:p>
    <w:sectPr w:rsidR="00E43687" w:rsidRPr="00D94429" w:rsidSect="00451B59">
      <w:headerReference w:type="default" r:id="rId17"/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8C" w:rsidRDefault="008C1F8C" w:rsidP="008C1F8C">
      <w:r>
        <w:separator/>
      </w:r>
    </w:p>
  </w:endnote>
  <w:endnote w:type="continuationSeparator" w:id="0">
    <w:p w:rsidR="008C1F8C" w:rsidRDefault="008C1F8C" w:rsidP="008C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8C" w:rsidRDefault="008C1F8C" w:rsidP="008C1F8C">
      <w:r>
        <w:separator/>
      </w:r>
    </w:p>
  </w:footnote>
  <w:footnote w:type="continuationSeparator" w:id="0">
    <w:p w:rsidR="008C1F8C" w:rsidRDefault="008C1F8C" w:rsidP="008C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8C" w:rsidRPr="008C1F8C" w:rsidRDefault="008C1F8C" w:rsidP="008C1F8C">
    <w:pPr>
      <w:pStyle w:val="a5"/>
      <w:jc w:val="right"/>
      <w:rPr>
        <w:sz w:val="20"/>
        <w:szCs w:val="20"/>
      </w:rPr>
    </w:pPr>
    <w:r w:rsidRPr="008C1F8C">
      <w:rPr>
        <w:sz w:val="20"/>
        <w:szCs w:val="20"/>
        <w:highlight w:val="yellow"/>
      </w:rPr>
      <w:t>Актуальная редакция от 04.03.2024 № 456-п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9"/>
    <w:rsid w:val="00431486"/>
    <w:rsid w:val="00451B59"/>
    <w:rsid w:val="004D3FE5"/>
    <w:rsid w:val="005D5F82"/>
    <w:rsid w:val="00663C03"/>
    <w:rsid w:val="008C1F8C"/>
    <w:rsid w:val="00923E08"/>
    <w:rsid w:val="00A439F3"/>
    <w:rsid w:val="00B53945"/>
    <w:rsid w:val="00D34449"/>
    <w:rsid w:val="00D94429"/>
    <w:rsid w:val="00DB19B8"/>
    <w:rsid w:val="00E4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8400"/>
  <w15:chartTrackingRefBased/>
  <w15:docId w15:val="{A8DE93FB-0561-44A6-AF4A-65ED3081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1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1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B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5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F8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C1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1F8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03&amp;dst=142" TargetMode="External"/><Relationship Id="rId13" Type="http://schemas.openxmlformats.org/officeDocument/2006/relationships/hyperlink" Target="https://login.consultant.ru/link/?req=doc&amp;base=LAW&amp;n=454003&amp;dst=14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4748&amp;dst=95" TargetMode="External"/><Relationship Id="rId12" Type="http://schemas.openxmlformats.org/officeDocument/2006/relationships/hyperlink" Target="https://login.consultant.ru/link/?req=doc&amp;base=LAW&amp;n=444748&amp;dst=9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6250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66171&amp;dst=10005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09270" TargetMode="External"/><Relationship Id="rId10" Type="http://schemas.openxmlformats.org/officeDocument/2006/relationships/hyperlink" Target="https://login.consultant.ru/link/?req=doc&amp;base=RLAW071&amp;n=363847&amp;dst=10028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9270" TargetMode="External"/><Relationship Id="rId14" Type="http://schemas.openxmlformats.org/officeDocument/2006/relationships/hyperlink" Target="https://login.consultant.ru/link/?req=doc&amp;base=LAW&amp;n=366171&amp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Elena V. Kaverina</cp:lastModifiedBy>
  <cp:revision>3</cp:revision>
  <cp:lastPrinted>2024-02-28T05:57:00Z</cp:lastPrinted>
  <dcterms:created xsi:type="dcterms:W3CDTF">2024-03-04T08:08:00Z</dcterms:created>
  <dcterms:modified xsi:type="dcterms:W3CDTF">2024-03-04T08:15:00Z</dcterms:modified>
</cp:coreProperties>
</file>