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r w:rsidRPr="00807CDD">
        <w:rPr>
          <w:rFonts w:ascii="Liberation Serif" w:hAnsi="Liberation Serif"/>
          <w:sz w:val="36"/>
          <w:szCs w:val="36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1642D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1642DF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D26623" w:rsidP="00D26623">
      <w:pPr>
        <w:rPr>
          <w:rFonts w:ascii="Liberation Serif" w:hAnsi="Liberation Serif"/>
        </w:rPr>
      </w:pPr>
      <w:r w:rsidRPr="00A37C8A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807CDD">
        <w:rPr>
          <w:rFonts w:ascii="Liberation Serif" w:hAnsi="Liberation Serif"/>
        </w:rPr>
        <w:t xml:space="preserve">№ </w:t>
      </w:r>
      <w:r w:rsidRPr="00A37C8A">
        <w:rPr>
          <w:rFonts w:ascii="Liberation Serif" w:hAnsi="Liberation Serif"/>
        </w:rPr>
        <w:t>_______</w:t>
      </w:r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Об утверждении Прогнозного плана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sz w:val="28"/>
          <w:szCs w:val="28"/>
        </w:rPr>
        <w:t>4</w:t>
      </w:r>
      <w:r w:rsidRPr="006B0D57">
        <w:rPr>
          <w:rFonts w:ascii="Liberation Serif" w:hAnsi="Liberation Serif"/>
          <w:b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sz w:val="28"/>
          <w:szCs w:val="28"/>
        </w:rPr>
        <w:t>5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ов</w:t>
      </w:r>
    </w:p>
    <w:p w:rsidR="006B0D57" w:rsidRPr="006B0D57" w:rsidRDefault="006B0D57" w:rsidP="006B0D57">
      <w:pPr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pStyle w:val="3"/>
        <w:ind w:firstLine="709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В соответствии с Федеральным законом от 21 декабря 2001 года</w:t>
      </w:r>
      <w:r w:rsidRPr="006B0D57">
        <w:rPr>
          <w:rFonts w:ascii="Liberation Serif" w:hAnsi="Liberation Serif"/>
          <w:sz w:val="28"/>
          <w:szCs w:val="28"/>
        </w:rPr>
        <w:br/>
        <w:t>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статьей 23 Устава Невьянского городского округа, Д</w:t>
      </w:r>
      <w:r w:rsidRPr="006B0D57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6B0D57" w:rsidRPr="006B0D57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ab/>
      </w:r>
      <w:r w:rsidRPr="006B0D57">
        <w:rPr>
          <w:rFonts w:ascii="Liberation Serif" w:hAnsi="Liberation Serif"/>
          <w:bCs/>
          <w:sz w:val="28"/>
          <w:szCs w:val="28"/>
        </w:rPr>
        <w:t>1. Утвердить Прогнозный 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1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Cs/>
          <w:sz w:val="28"/>
          <w:szCs w:val="28"/>
        </w:rPr>
        <w:tab/>
        <w:t>2. Утвердить перечень имущества, приватизация которого запрещена в 202</w:t>
      </w:r>
      <w:r w:rsidR="00752870"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2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решения возложить на председателя Думы Невьянского городского округа Л.Я. Замятину. </w:t>
      </w:r>
    </w:p>
    <w:p w:rsidR="006B0D57" w:rsidRPr="006B0D57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ab/>
      </w:r>
      <w:r w:rsidRPr="006B0D57">
        <w:rPr>
          <w:rFonts w:ascii="Liberation Serif" w:hAnsi="Liberation Serif" w:cs="Times New Roman"/>
          <w:sz w:val="28"/>
          <w:szCs w:val="28"/>
        </w:rPr>
        <w:t>4</w:t>
      </w:r>
      <w:r w:rsidRPr="006B0D57">
        <w:rPr>
          <w:rFonts w:ascii="Liberation Serif" w:hAnsi="Liberation Serif"/>
          <w:sz w:val="28"/>
          <w:szCs w:val="28"/>
        </w:rPr>
        <w:t xml:space="preserve">. 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>Опубликовать настоящее решение в официальном печатном средстве массовой информации Невьянского городского округа и разместить на официальном сайте Невьянского городского округа в информационно-телекоммуникационной сети «Интернет»</w:t>
      </w:r>
      <w:r w:rsidRPr="006B0D57">
        <w:rPr>
          <w:rFonts w:ascii="Liberation Serif" w:hAnsi="Liberation Serif" w:cs="Times New Roman"/>
          <w:sz w:val="28"/>
          <w:szCs w:val="28"/>
        </w:rPr>
        <w:t>.</w:t>
      </w: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768"/>
      </w:tblGrid>
      <w:tr w:rsidR="006B0D57" w:rsidRPr="006B0D57" w:rsidTr="001642DF">
        <w:tc>
          <w:tcPr>
            <w:tcW w:w="4927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Глава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А.А. </w:t>
            </w:r>
            <w:proofErr w:type="spellStart"/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1642DF">
          <w:headerReference w:type="default" r:id="rId9"/>
          <w:headerReference w:type="first" r:id="rId10"/>
          <w:pgSz w:w="11906" w:h="16838"/>
          <w:pgMar w:top="1135" w:right="566" w:bottom="360" w:left="1701" w:header="708" w:footer="708" w:gutter="0"/>
          <w:cols w:space="708"/>
          <w:docGrid w:linePitch="360"/>
        </w:sectPr>
      </w:pPr>
    </w:p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>от ________________№______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bCs/>
          <w:sz w:val="28"/>
          <w:szCs w:val="28"/>
        </w:rPr>
        <w:t>4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bCs/>
          <w:sz w:val="28"/>
          <w:szCs w:val="28"/>
        </w:rPr>
        <w:t>5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>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752870">
        <w:rPr>
          <w:rFonts w:ascii="Liberation Serif" w:hAnsi="Liberation Serif"/>
          <w:sz w:val="28"/>
          <w:szCs w:val="28"/>
        </w:rPr>
        <w:t>5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7E622A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3</w:t>
      </w:r>
      <w:r w:rsidRPr="007E622A">
        <w:rPr>
          <w:rFonts w:ascii="Liberation Serif" w:hAnsi="Liberation Serif"/>
          <w:sz w:val="28"/>
          <w:szCs w:val="28"/>
        </w:rPr>
        <w:t xml:space="preserve"> год – </w:t>
      </w:r>
      <w:r w:rsidR="007E622A" w:rsidRPr="007E622A">
        <w:rPr>
          <w:rFonts w:ascii="Liberation Serif" w:hAnsi="Liberation Serif"/>
          <w:sz w:val="28"/>
          <w:szCs w:val="28"/>
        </w:rPr>
        <w:t>654,41</w:t>
      </w:r>
      <w:r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7E622A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4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500,92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5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185,89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 в том числе:</w:t>
      </w:r>
      <w:r w:rsidR="006B0D57"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с рассрочкой платежей на 5 и 7 лет: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- 2023 год – 654,41 тыс. рублей;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- 2024 год – 500,92 тыс. рублей;</w:t>
      </w:r>
    </w:p>
    <w:p w:rsidR="007E622A" w:rsidRPr="00A45410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- 2025 год – 185,89 тыс. рублей.</w:t>
      </w:r>
      <w:r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F708A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598"/>
      </w:tblGrid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6B0D57" w:rsidP="00C323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2023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>года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и плановом периоде 2024</w:t>
            </w:r>
            <w:r w:rsidR="00C32355" w:rsidRPr="00C32355">
              <w:rPr>
                <w:rFonts w:ascii="Liberation Serif" w:hAnsi="Liberation Serif"/>
                <w:sz w:val="20"/>
                <w:szCs w:val="20"/>
              </w:rPr>
              <w:t xml:space="preserve"> и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181,7/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C32355" w:rsidRDefault="00C32355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-вершен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C32355" w:rsidRDefault="00C32355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A462EA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16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 w:rsidR="004B6516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4B65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№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4B651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66:15:1501027:385, категория земель: земли населенных пунктов,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разрешенное использование: для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4B6516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дуального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>103,0/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C32355" w:rsidRDefault="00C32355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16" w:rsidRPr="00A45410" w:rsidRDefault="004B6516" w:rsidP="004B651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4B6516" w:rsidRPr="00A45410" w:rsidRDefault="004B6516" w:rsidP="004B651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A462EA" w:rsidRPr="00E20F42" w:rsidRDefault="004B6516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326B2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 </w:t>
            </w:r>
            <w:r w:rsidR="00607D5C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№ 20-б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66:15:1501027:386, категория земель: земли населенных пунктов, разрешенное использование: для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C32355" w:rsidRDefault="00C32355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A462EA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2" w:rsidRPr="00A45410" w:rsidRDefault="006326B2" w:rsidP="006326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326B2" w:rsidRPr="00A45410" w:rsidRDefault="006326B2" w:rsidP="006326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6326B2" w:rsidRPr="00E20F42" w:rsidRDefault="006326B2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66:15:1501027:384, категория земель: земли населенных 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участок под ним с кадастровым номером 66:15:1501027:387, категория земель: земли населенных 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проводились в связи с изменением разрешенного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96B22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№ 20-д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66:15:1501027:383, категория земель: земли населенных пунктов, разрешенное использование: для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C32355" w:rsidRDefault="00C32355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A462EA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2" w:rsidRPr="00A45410" w:rsidRDefault="00796B22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796B22" w:rsidRPr="00A45410" w:rsidRDefault="00482D39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96B22">
              <w:rPr>
                <w:rFonts w:ascii="Liberation Serif" w:hAnsi="Liberation Serif"/>
                <w:sz w:val="20"/>
                <w:szCs w:val="20"/>
              </w:rPr>
              <w:t>1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796B22" w:rsidRPr="00E20F42" w:rsidRDefault="00796B22" w:rsidP="00796B2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195A79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ГАЗ-3102, год выпуска 2005,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Т 816 ЕР,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C32355" w:rsidRDefault="00C32355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A462EA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195A79" w:rsidRPr="009F1064" w:rsidRDefault="00195A79" w:rsidP="00482D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1064" w:rsidRPr="009F1064">
              <w:rPr>
                <w:rFonts w:ascii="Liberation Serif" w:hAnsi="Liberation Serif"/>
                <w:sz w:val="20"/>
                <w:szCs w:val="20"/>
              </w:rPr>
              <w:t>Проводились мероприятия по определению рыночной стоимости.</w:t>
            </w:r>
          </w:p>
        </w:tc>
      </w:tr>
    </w:tbl>
    <w:p w:rsidR="0040013E" w:rsidRDefault="0040013E" w:rsidP="0040013E">
      <w:pPr>
        <w:tabs>
          <w:tab w:val="left" w:pos="1544"/>
          <w:tab w:val="right" w:pos="10488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B0D57" w:rsidRPr="0040013E" w:rsidRDefault="006B0D57" w:rsidP="0040013E">
      <w:pPr>
        <w:rPr>
          <w:rFonts w:ascii="Liberation Serif" w:hAnsi="Liberation Serif"/>
        </w:rPr>
        <w:sectPr w:rsidR="006B0D57" w:rsidRPr="0040013E" w:rsidSect="001642DF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от ___________202</w:t>
      </w:r>
      <w:r w:rsidR="0013426A">
        <w:rPr>
          <w:rFonts w:ascii="Liberation Serif" w:hAnsi="Liberation Serif"/>
        </w:rPr>
        <w:t>2</w:t>
      </w:r>
      <w:r w:rsidRPr="006B0D57">
        <w:rPr>
          <w:rFonts w:ascii="Liberation Serif" w:hAnsi="Liberation Serif"/>
        </w:rPr>
        <w:t xml:space="preserve"> </w:t>
      </w:r>
      <w:proofErr w:type="gramStart"/>
      <w:r w:rsidRPr="006B0D57">
        <w:rPr>
          <w:rFonts w:ascii="Liberation Serif" w:hAnsi="Liberation Serif"/>
        </w:rPr>
        <w:t>№  _</w:t>
      </w:r>
      <w:proofErr w:type="gramEnd"/>
      <w:r w:rsidRPr="006B0D57">
        <w:rPr>
          <w:rFonts w:ascii="Liberation Serif" w:hAnsi="Liberation Serif"/>
        </w:rPr>
        <w:t>________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13426A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году 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13426A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13426A">
        <w:rPr>
          <w:rFonts w:ascii="Liberation Serif" w:hAnsi="Liberation Serif"/>
          <w:b/>
          <w:sz w:val="28"/>
        </w:rPr>
        <w:t>5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2. Имущество, обеспечивающее деятельность местных органов 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7E072B" w:rsidTr="001642DF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кадастровый номер: 66:15:0000000:467,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9F10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 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66:15:0000000:2999,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66:15:0000000:3130,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       ул. Карла Маркса,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участка по улице Горького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(котельная № 2)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С)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      с оборудованием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Котел наружного размещения (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сдвоенный)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9F1064">
      <w:pPr>
        <w:rPr>
          <w:rFonts w:ascii="Liberation Serif" w:hAnsi="Liberation Serif"/>
          <w:b/>
          <w:color w:val="000000"/>
        </w:rPr>
      </w:pPr>
    </w:p>
    <w:p w:rsidR="000F6325" w:rsidRDefault="000F6325" w:rsidP="00D0275A">
      <w:pPr>
        <w:pStyle w:val="2"/>
        <w:pageBreakBefore/>
        <w:jc w:val="left"/>
      </w:pPr>
      <w:bookmarkStart w:id="0" w:name="_GoBack"/>
      <w:bookmarkEnd w:id="0"/>
    </w:p>
    <w:sectPr w:rsidR="000F6325" w:rsidSect="00DA34A8">
      <w:headerReference w:type="default" r:id="rId11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2A" w:rsidRDefault="007E622A">
      <w:r>
        <w:separator/>
      </w:r>
    </w:p>
  </w:endnote>
  <w:endnote w:type="continuationSeparator" w:id="0">
    <w:p w:rsidR="007E622A" w:rsidRDefault="007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2A" w:rsidRDefault="007E622A">
      <w:r>
        <w:separator/>
      </w:r>
    </w:p>
  </w:footnote>
  <w:footnote w:type="continuationSeparator" w:id="0">
    <w:p w:rsidR="007E622A" w:rsidRDefault="007E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2A" w:rsidRDefault="007E62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72F2">
      <w:rPr>
        <w:noProof/>
      </w:rPr>
      <w:t>7</w:t>
    </w:r>
    <w:r>
      <w:fldChar w:fldCharType="end"/>
    </w:r>
  </w:p>
  <w:p w:rsidR="007E622A" w:rsidRDefault="007E6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368708"/>
      <w:docPartObj>
        <w:docPartGallery w:val="Page Numbers (Top of Page)"/>
        <w:docPartUnique/>
      </w:docPartObj>
    </w:sdtPr>
    <w:sdtEndPr/>
    <w:sdtContent>
      <w:p w:rsidR="007E622A" w:rsidRDefault="007E62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F2">
          <w:rPr>
            <w:noProof/>
          </w:rPr>
          <w:t>8</w:t>
        </w:r>
        <w:r>
          <w:fldChar w:fldCharType="end"/>
        </w:r>
      </w:p>
    </w:sdtContent>
  </w:sdt>
  <w:p w:rsidR="007E622A" w:rsidRDefault="007E62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869127"/>
      <w:docPartObj>
        <w:docPartGallery w:val="Page Numbers (Top of Page)"/>
        <w:docPartUnique/>
      </w:docPartObj>
    </w:sdtPr>
    <w:sdtEndPr/>
    <w:sdtContent>
      <w:p w:rsidR="00DA34A8" w:rsidRDefault="00DA3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F2">
          <w:rPr>
            <w:noProof/>
          </w:rPr>
          <w:t>11</w:t>
        </w:r>
        <w:r>
          <w:fldChar w:fldCharType="end"/>
        </w:r>
      </w:p>
    </w:sdtContent>
  </w:sdt>
  <w:p w:rsidR="007E622A" w:rsidRPr="009A64DC" w:rsidRDefault="007E622A" w:rsidP="00DA34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0F6325"/>
    <w:rsid w:val="000F6D69"/>
    <w:rsid w:val="0011125E"/>
    <w:rsid w:val="0013426A"/>
    <w:rsid w:val="001642DF"/>
    <w:rsid w:val="00195631"/>
    <w:rsid w:val="00195A79"/>
    <w:rsid w:val="001C768A"/>
    <w:rsid w:val="0029601E"/>
    <w:rsid w:val="002F2D06"/>
    <w:rsid w:val="002F72F2"/>
    <w:rsid w:val="003501C3"/>
    <w:rsid w:val="003C64CC"/>
    <w:rsid w:val="0040013E"/>
    <w:rsid w:val="00415C5B"/>
    <w:rsid w:val="00482D39"/>
    <w:rsid w:val="004B6516"/>
    <w:rsid w:val="004E718F"/>
    <w:rsid w:val="00553391"/>
    <w:rsid w:val="005819D8"/>
    <w:rsid w:val="0059605E"/>
    <w:rsid w:val="005C6A9B"/>
    <w:rsid w:val="00607D5C"/>
    <w:rsid w:val="006326B2"/>
    <w:rsid w:val="006B0D57"/>
    <w:rsid w:val="00710B04"/>
    <w:rsid w:val="00730234"/>
    <w:rsid w:val="00752870"/>
    <w:rsid w:val="007548F4"/>
    <w:rsid w:val="00775716"/>
    <w:rsid w:val="00796B22"/>
    <w:rsid w:val="007E072B"/>
    <w:rsid w:val="007E4A07"/>
    <w:rsid w:val="007E622A"/>
    <w:rsid w:val="009A64DC"/>
    <w:rsid w:val="009C11F6"/>
    <w:rsid w:val="009F1064"/>
    <w:rsid w:val="00A14340"/>
    <w:rsid w:val="00A45410"/>
    <w:rsid w:val="00A462EA"/>
    <w:rsid w:val="00AF3F48"/>
    <w:rsid w:val="00B159D5"/>
    <w:rsid w:val="00B74E0B"/>
    <w:rsid w:val="00BC4567"/>
    <w:rsid w:val="00BE4D56"/>
    <w:rsid w:val="00C32355"/>
    <w:rsid w:val="00C33996"/>
    <w:rsid w:val="00D0275A"/>
    <w:rsid w:val="00D1050D"/>
    <w:rsid w:val="00D20B64"/>
    <w:rsid w:val="00D26623"/>
    <w:rsid w:val="00D570E2"/>
    <w:rsid w:val="00DA34A8"/>
    <w:rsid w:val="00E5476A"/>
    <w:rsid w:val="00F04C00"/>
    <w:rsid w:val="00F708A9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98F8-268C-46A3-A856-FC38FD0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CE24-E23E-4F41-A435-FEE6690A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9</cp:revision>
  <cp:lastPrinted>2022-06-03T03:57:00Z</cp:lastPrinted>
  <dcterms:created xsi:type="dcterms:W3CDTF">2021-06-01T09:11:00Z</dcterms:created>
  <dcterms:modified xsi:type="dcterms:W3CDTF">2022-06-03T06:14:00Z</dcterms:modified>
</cp:coreProperties>
</file>