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</w:t>
      </w:r>
      <w:r w:rsidR="00DB6A59" w:rsidRPr="00DB6A59">
        <w:rPr>
          <w:rFonts w:ascii="Liberation Serif" w:hAnsi="Liberation Serif"/>
          <w:iCs/>
          <w:color w:val="000000"/>
        </w:rPr>
        <w:t>4</w:t>
      </w:r>
      <w:r w:rsidRPr="0030162B">
        <w:rPr>
          <w:rFonts w:ascii="Liberation Serif" w:hAnsi="Liberation Serif"/>
          <w:iCs/>
          <w:color w:val="000000"/>
        </w:rPr>
        <w:t>.</w:t>
      </w:r>
      <w:r w:rsidR="00DB6A59" w:rsidRPr="00DB6A59">
        <w:rPr>
          <w:rFonts w:ascii="Liberation Serif" w:hAnsi="Liberation Serif"/>
          <w:iCs/>
          <w:color w:val="000000"/>
        </w:rPr>
        <w:t>0</w:t>
      </w:r>
      <w:r w:rsidR="00935C59">
        <w:rPr>
          <w:rFonts w:ascii="Liberation Serif" w:hAnsi="Liberation Serif"/>
          <w:iCs/>
          <w:color w:val="000000"/>
        </w:rPr>
        <w:t>2</w:t>
      </w:r>
      <w:r w:rsidRPr="0030162B">
        <w:rPr>
          <w:rFonts w:ascii="Liberation Serif" w:hAnsi="Liberation Serif"/>
          <w:iCs/>
          <w:color w:val="000000"/>
        </w:rPr>
        <w:t>.202</w:t>
      </w:r>
      <w:r w:rsidR="00DB6A59" w:rsidRPr="00DB6A59">
        <w:rPr>
          <w:rFonts w:ascii="Liberation Serif" w:hAnsi="Liberation Serif"/>
          <w:iCs/>
          <w:color w:val="000000"/>
        </w:rPr>
        <w:t>1</w:t>
      </w:r>
      <w:r w:rsidRPr="0030162B">
        <w:rPr>
          <w:rFonts w:ascii="Liberation Serif" w:hAnsi="Liberation Serif"/>
          <w:iCs/>
          <w:color w:val="000000"/>
        </w:rPr>
        <w:t xml:space="preserve"> № </w:t>
      </w:r>
      <w:r w:rsidR="00DB6A59" w:rsidRPr="00DB6A59">
        <w:rPr>
          <w:rFonts w:ascii="Liberation Serif" w:hAnsi="Liberation Serif"/>
          <w:iCs/>
          <w:color w:val="000000"/>
        </w:rPr>
        <w:t>8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="00362096">
        <w:rPr>
          <w:rFonts w:ascii="Liberation Serif" w:hAnsi="Liberation Serif"/>
          <w:iCs/>
          <w:color w:val="000000"/>
        </w:rPr>
        <w:t xml:space="preserve">О внесении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</w:t>
      </w:r>
      <w:r w:rsidR="006B344E" w:rsidRPr="0030162B">
        <w:rPr>
          <w:rFonts w:ascii="Liberation Serif" w:hAnsi="Liberation Serif"/>
        </w:rPr>
        <w:lastRenderedPageBreak/>
        <w:t>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19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5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164</w:t>
            </w:r>
            <w:r w:rsidR="00B94F4D" w:rsidRPr="00B94F4D"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EE11B7">
              <w:rPr>
                <w:rFonts w:ascii="Liberation Serif" w:hAnsi="Liberation Serif" w:cs="Arial"/>
                <w:bCs/>
                <w:color w:val="000000"/>
              </w:rPr>
              <w:t>65</w:t>
            </w:r>
            <w:r w:rsidR="00B94F4D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>
              <w:rPr>
                <w:rFonts w:ascii="Liberation Serif" w:hAnsi="Liberation Serif"/>
                <w:color w:val="000000"/>
              </w:rPr>
              <w:t>2</w:t>
            </w:r>
            <w:r w:rsidR="00EE11B7">
              <w:rPr>
                <w:rFonts w:ascii="Liberation Serif" w:hAnsi="Liberation Serif"/>
                <w:color w:val="000000"/>
              </w:rPr>
              <w:t>5 742</w:t>
            </w:r>
            <w:r w:rsidR="00A51984">
              <w:rPr>
                <w:rFonts w:ascii="Liberation Serif" w:hAnsi="Liberation Serif"/>
                <w:color w:val="000000"/>
              </w:rPr>
              <w:t>,</w:t>
            </w:r>
            <w:r w:rsidR="005A065D">
              <w:rPr>
                <w:rFonts w:ascii="Liberation Serif" w:hAnsi="Liberation Serif"/>
                <w:color w:val="000000"/>
              </w:rPr>
              <w:t>8</w:t>
            </w:r>
            <w:r w:rsidR="00EE11B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10 305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>
              <w:rPr>
                <w:rFonts w:ascii="Liberation Serif" w:hAnsi="Liberation Serif"/>
                <w:color w:val="000000"/>
              </w:rPr>
              <w:t>1 425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31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1 </w:t>
            </w:r>
            <w:r w:rsidR="00680C7C">
              <w:rPr>
                <w:rFonts w:ascii="Liberation Serif" w:hAnsi="Liberation Serif"/>
                <w:color w:val="000000"/>
              </w:rPr>
              <w:t>556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49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>
              <w:rPr>
                <w:rFonts w:ascii="Liberation Serif" w:hAnsi="Liberation Serif"/>
                <w:color w:val="000000"/>
              </w:rPr>
              <w:t>265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80C7C">
              <w:rPr>
                <w:rFonts w:ascii="Liberation Serif" w:hAnsi="Liberation Serif"/>
                <w:color w:val="000000"/>
              </w:rPr>
              <w:t>99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0A6060">
              <w:rPr>
                <w:rFonts w:ascii="Liberation Serif" w:hAnsi="Liberation Serif"/>
                <w:color w:val="000000"/>
              </w:rPr>
              <w:t>2</w:t>
            </w:r>
            <w:r w:rsidR="00E47F04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361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13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E47F04">
              <w:rPr>
                <w:rFonts w:ascii="Liberation Serif" w:hAnsi="Liberation Serif"/>
                <w:color w:val="000000"/>
              </w:rPr>
              <w:t>6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226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59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6D6808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941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20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>
              <w:rPr>
                <w:rFonts w:ascii="Liberation Serif" w:hAnsi="Liberation Serif"/>
                <w:color w:val="000000"/>
              </w:rPr>
              <w:t>7</w:t>
            </w:r>
            <w:r w:rsidR="005A065D">
              <w:rPr>
                <w:rFonts w:ascii="Liberation Serif" w:hAnsi="Liberation Serif"/>
                <w:color w:val="000000"/>
              </w:rPr>
              <w:t xml:space="preserve"> </w:t>
            </w:r>
            <w:r w:rsidR="006D6808">
              <w:rPr>
                <w:rFonts w:ascii="Liberation Serif" w:hAnsi="Liberation Serif"/>
                <w:color w:val="000000"/>
              </w:rPr>
              <w:t>824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6D6808">
              <w:rPr>
                <w:rFonts w:ascii="Liberation Serif" w:hAnsi="Liberation Serif"/>
                <w:color w:val="000000"/>
              </w:rPr>
              <w:t>96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2. Контроль за исполнением настоящего постановления возложить на </w:t>
      </w:r>
      <w:r w:rsidR="006D6808">
        <w:rPr>
          <w:rFonts w:ascii="Liberation Serif" w:hAnsi="Liberation Serif"/>
        </w:rPr>
        <w:t xml:space="preserve">исполняющего обязанности </w:t>
      </w:r>
      <w:r w:rsidRPr="0030162B">
        <w:rPr>
          <w:rFonts w:ascii="Liberation Serif" w:hAnsi="Liberation Serif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6D6808">
        <w:rPr>
          <w:rFonts w:ascii="Liberation Serif" w:hAnsi="Liberation Serif"/>
        </w:rPr>
        <w:br/>
        <w:t>И</w:t>
      </w:r>
      <w:r w:rsidRPr="0030162B">
        <w:rPr>
          <w:rFonts w:ascii="Liberation Serif" w:hAnsi="Liberation Serif"/>
        </w:rPr>
        <w:t xml:space="preserve">.В. </w:t>
      </w:r>
      <w:r w:rsidR="006D6808">
        <w:rPr>
          <w:rFonts w:ascii="Liberation Serif" w:hAnsi="Liberation Serif"/>
        </w:rPr>
        <w:t>Белякова</w:t>
      </w:r>
      <w:r w:rsidRPr="0030162B">
        <w:rPr>
          <w:rFonts w:ascii="Liberation Serif" w:hAnsi="Liberation Serif"/>
        </w:rPr>
        <w:t>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6632E9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CB59FB" w:rsidP="007C1048">
      <w:pPr>
        <w:jc w:val="right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</w:rPr>
        <w:tab/>
      </w: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="0094527A"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94527A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CB59FB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CB59FB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CB59FB">
      <w:pPr>
        <w:jc w:val="right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CB7F63" w:rsidRPr="009601CB" w:rsidRDefault="00CB7F63" w:rsidP="00CB59FB">
      <w:pPr>
        <w:tabs>
          <w:tab w:val="left" w:pos="5823"/>
        </w:tabs>
        <w:rPr>
          <w:rFonts w:ascii="Liberation Serif" w:hAnsi="Liberation Serif"/>
          <w:sz w:val="20"/>
          <w:szCs w:val="20"/>
        </w:rPr>
      </w:pPr>
    </w:p>
    <w:p w:rsidR="00CB7F63" w:rsidRPr="009601CB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601CB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9601CB" w:rsidRPr="009601CB" w:rsidTr="009601CB">
        <w:trPr>
          <w:cantSplit/>
          <w:trHeight w:val="255"/>
        </w:trPr>
        <w:tc>
          <w:tcPr>
            <w:tcW w:w="752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601CB" w:rsidRPr="009601CB" w:rsidTr="00F83FEE">
        <w:trPr>
          <w:cantSplit/>
          <w:trHeight w:val="1265"/>
        </w:trPr>
        <w:tc>
          <w:tcPr>
            <w:tcW w:w="752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vMerge/>
            <w:vAlign w:val="center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9601CB" w:rsidRPr="009601CB" w:rsidTr="009601CB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9601CB" w:rsidRPr="009601CB" w:rsidTr="009601CB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10 305,83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16 226,59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17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10 305,83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16 226,59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7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390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76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92 953,61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13 123,06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319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10 575,87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10 575,87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12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99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58 256,98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58 256,98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07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3 596,41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3 596,41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0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86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3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33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162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06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40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76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4046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9 466,86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9 121,84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62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A21605">
        <w:trPr>
          <w:cantSplit/>
          <w:trHeight w:val="210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76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1988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203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72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1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2094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62 199,62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7 366,88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1 556,49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265,99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7 768,11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1 323,21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12 719,15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F83FEE">
        <w:trPr>
          <w:cantSplit/>
          <w:trHeight w:val="321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053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11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9601CB" w:rsidRPr="009601CB" w:rsidRDefault="009601CB" w:rsidP="009601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712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05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1479"/>
        </w:trPr>
        <w:tc>
          <w:tcPr>
            <w:tcW w:w="752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27 608,56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4 058,80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601CB" w:rsidRPr="009601CB" w:rsidTr="009601CB">
        <w:trPr>
          <w:cantSplit/>
          <w:trHeight w:val="381"/>
        </w:trPr>
        <w:tc>
          <w:tcPr>
            <w:tcW w:w="752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auto" w:fill="auto"/>
            <w:hideMark/>
          </w:tcPr>
          <w:p w:rsidR="009601CB" w:rsidRPr="009601CB" w:rsidRDefault="009601CB" w:rsidP="009601C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9601CB" w:rsidRPr="009601CB" w:rsidRDefault="009601CB" w:rsidP="009601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9601C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9601CB" w:rsidRDefault="009601CB" w:rsidP="009601CB"/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CB7F63">
          <w:pgSz w:w="16838" w:h="11906" w:orient="landscape"/>
          <w:pgMar w:top="1276" w:right="1135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</w:t>
      </w:r>
      <w:bookmarkStart w:id="0" w:name="_GoBack"/>
      <w:bookmarkEnd w:id="0"/>
      <w:r w:rsidRPr="00D611D8">
        <w:rPr>
          <w:rFonts w:ascii="Liberation Serif" w:hAnsi="Liberation Serif"/>
          <w:b/>
          <w:color w:val="000000"/>
        </w:rPr>
        <w:t>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9601CB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F901F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6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CB" w:rsidRDefault="009601CB" w:rsidP="0099614D">
      <w:r>
        <w:separator/>
      </w:r>
    </w:p>
  </w:endnote>
  <w:endnote w:type="continuationSeparator" w:id="0">
    <w:p w:rsidR="009601CB" w:rsidRDefault="009601CB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CB" w:rsidRDefault="009601CB" w:rsidP="0099614D">
      <w:r>
        <w:separator/>
      </w:r>
    </w:p>
  </w:footnote>
  <w:footnote w:type="continuationSeparator" w:id="0">
    <w:p w:rsidR="009601CB" w:rsidRDefault="009601CB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9601CB" w:rsidRDefault="00960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1A">
          <w:rPr>
            <w:noProof/>
          </w:rPr>
          <w:t>13</w:t>
        </w:r>
        <w:r>
          <w:fldChar w:fldCharType="end"/>
        </w:r>
      </w:p>
    </w:sdtContent>
  </w:sdt>
  <w:p w:rsidR="009601CB" w:rsidRDefault="009601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CB" w:rsidRDefault="009601CB" w:rsidP="00AE5E0D">
    <w:pPr>
      <w:pStyle w:val="a8"/>
    </w:pPr>
  </w:p>
  <w:p w:rsidR="009601CB" w:rsidRPr="00AE5E0D" w:rsidRDefault="009601CB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CB" w:rsidRDefault="009601CB">
    <w:pPr>
      <w:pStyle w:val="a8"/>
      <w:jc w:val="center"/>
    </w:pPr>
  </w:p>
  <w:p w:rsidR="009601CB" w:rsidRDefault="009601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A6060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236"/>
    <w:rsid w:val="002B1DF5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7A9B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C2734"/>
    <w:rsid w:val="006C2BE3"/>
    <w:rsid w:val="006D6808"/>
    <w:rsid w:val="006D7EB8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B12EDF"/>
    <w:rsid w:val="00B350FB"/>
    <w:rsid w:val="00B5542D"/>
    <w:rsid w:val="00B63E45"/>
    <w:rsid w:val="00B70FE5"/>
    <w:rsid w:val="00B72C56"/>
    <w:rsid w:val="00B73285"/>
    <w:rsid w:val="00B753BC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62D7A"/>
    <w:rsid w:val="00F66DDF"/>
    <w:rsid w:val="00F83FEE"/>
    <w:rsid w:val="00F901F8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igorkulema@yandex.ru" TargetMode="External"/><Relationship Id="rId18" Type="http://schemas.openxmlformats.org/officeDocument/2006/relationships/hyperlink" Target="x-psi-atstyle:anatolii.rassohi@mail.ru" TargetMode="External"/><Relationship Id="rId26" Type="http://schemas.openxmlformats.org/officeDocument/2006/relationships/hyperlink" Target="x-psi-atstyle:mssolovyev@gmail.com" TargetMode="External"/><Relationship Id="rId21" Type="http://schemas.openxmlformats.org/officeDocument/2006/relationships/hyperlink" Target="x-psi-atstyle:absatarovaer@yandex.ru" TargetMode="External"/><Relationship Id="rId34" Type="http://schemas.openxmlformats.org/officeDocument/2006/relationships/hyperlink" Target="x-psi-atstyle:miha-tifl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mila-berg@mail.ru" TargetMode="External"/><Relationship Id="rId17" Type="http://schemas.openxmlformats.org/officeDocument/2006/relationships/hyperlink" Target="x-psi-atstyle:nashcomitet@mail.ru" TargetMode="External"/><Relationship Id="rId25" Type="http://schemas.openxmlformats.org/officeDocument/2006/relationships/hyperlink" Target="x-psi-atstyle:argus.83@mail.ru" TargetMode="External"/><Relationship Id="rId33" Type="http://schemas.openxmlformats.org/officeDocument/2006/relationships/hyperlink" Target="x-psi-atstyle:legotinmpren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-psi-atstyle:polyanina-mariya@mail.ru" TargetMode="External"/><Relationship Id="rId20" Type="http://schemas.openxmlformats.org/officeDocument/2006/relationships/hyperlink" Target="x-psi-atstyle:mosorova@list.ru" TargetMode="External"/><Relationship Id="rId29" Type="http://schemas.openxmlformats.org/officeDocument/2006/relationships/hyperlink" Target="x-psi-atstyle:S.Makowsk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admp@usla.ru" TargetMode="External"/><Relationship Id="rId24" Type="http://schemas.openxmlformats.org/officeDocument/2006/relationships/hyperlink" Target="x-psi-atstyle:171080pvs@gmail.com" TargetMode="External"/><Relationship Id="rId32" Type="http://schemas.openxmlformats.org/officeDocument/2006/relationships/hyperlink" Target="x-psi-atstyle:deeva_maria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x-psi-atstyle:urrrist@mail.ru" TargetMode="External"/><Relationship Id="rId23" Type="http://schemas.openxmlformats.org/officeDocument/2006/relationships/hyperlink" Target="x-psi-atstyle:79122750999@yandex.ru" TargetMode="External"/><Relationship Id="rId28" Type="http://schemas.openxmlformats.org/officeDocument/2006/relationships/hyperlink" Target="x-psi-atstyle:9122210550@mail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x-psi-atstyle:grachevam@yandex.ru" TargetMode="External"/><Relationship Id="rId31" Type="http://schemas.openxmlformats.org/officeDocument/2006/relationships/hyperlink" Target="x-psi-atstyle:yashkina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x-psi-atstyle:afanaseva-nf@bk.ru" TargetMode="External"/><Relationship Id="rId27" Type="http://schemas.openxmlformats.org/officeDocument/2006/relationships/hyperlink" Target="x-psi-atstyle:Izot83@yandex.ru" TargetMode="External"/><Relationship Id="rId30" Type="http://schemas.openxmlformats.org/officeDocument/2006/relationships/hyperlink" Target="x-psi-atstyle:help@npcstatus.ru" TargetMode="External"/><Relationship Id="rId35" Type="http://schemas.openxmlformats.org/officeDocument/2006/relationships/hyperlink" Target="x-psi-atstyle:gam002@usla.ru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7B52-4D67-4EBA-AC27-C1F87A75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13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19</cp:revision>
  <cp:lastPrinted>2021-09-30T03:43:00Z</cp:lastPrinted>
  <dcterms:created xsi:type="dcterms:W3CDTF">2020-10-16T08:03:00Z</dcterms:created>
  <dcterms:modified xsi:type="dcterms:W3CDTF">2021-09-30T03:45:00Z</dcterms:modified>
</cp:coreProperties>
</file>