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732888">
            <w:pPr>
              <w:jc w:val="right"/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8F0940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E6E58" w:rsidRDefault="00D7021A" w:rsidP="009E6E58">
      <w:pPr>
        <w:widowControl w:val="0"/>
        <w:autoSpaceDE w:val="0"/>
        <w:jc w:val="center"/>
      </w:pPr>
      <w:bookmarkStart w:id="0" w:name="_GoBack"/>
      <w:r>
        <w:rPr>
          <w:rFonts w:ascii="Liberation Serif" w:eastAsia="Liberation Serif" w:hAnsi="Liberation Serif" w:cs="Liberation Serif"/>
          <w:b/>
          <w:bCs/>
        </w:rPr>
        <w:t xml:space="preserve">Об утверждении формы проверочных листов, применяемых при осуществлении муниципального контроля </w:t>
      </w:r>
      <w:r w:rsidR="009E6E58">
        <w:rPr>
          <w:rFonts w:ascii="Liberation Serif" w:hAnsi="Liberation Serif"/>
          <w:b/>
          <w:color w:val="000000"/>
        </w:rPr>
        <w:t>на автомобильном транспорте,</w:t>
      </w:r>
    </w:p>
    <w:p w:rsidR="009E6E58" w:rsidRDefault="009E6E58" w:rsidP="009E6E58">
      <w:pPr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городском наземном электрическом транспорте и в дорожном хозяйстве</w:t>
      </w:r>
    </w:p>
    <w:p w:rsidR="009E6E58" w:rsidRDefault="009E6E58" w:rsidP="009E6E58">
      <w:pPr>
        <w:widowControl w:val="0"/>
        <w:autoSpaceDE w:val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>на территории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b/>
          <w:color w:val="000000"/>
        </w:rPr>
        <w:t>Невьянского городского округа</w:t>
      </w:r>
    </w:p>
    <w:bookmarkEnd w:id="0"/>
    <w:p w:rsidR="009E6E58" w:rsidRDefault="009E6E58" w:rsidP="009E6E58">
      <w:pPr>
        <w:widowControl w:val="0"/>
        <w:autoSpaceDE w:val="0"/>
        <w:jc w:val="center"/>
      </w:pPr>
    </w:p>
    <w:p w:rsidR="00732888" w:rsidRDefault="008249FA" w:rsidP="008249FA">
      <w:pPr>
        <w:ind w:firstLine="708"/>
        <w:jc w:val="both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</w:rPr>
        <w:t xml:space="preserve">В соответствии с Федеральным законом от 31 июля 2020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</w:t>
      </w:r>
      <w:r w:rsidR="0082578B">
        <w:rPr>
          <w:rFonts w:ascii="Liberation Serif" w:eastAsia="Liberation Serif" w:hAnsi="Liberation Serif" w:cs="Liberation Serif"/>
        </w:rPr>
        <w:t>руководствуясь Уставом Невьянского городского округа,</w:t>
      </w:r>
    </w:p>
    <w:p w:rsidR="0082578B" w:rsidRPr="00D611D8" w:rsidRDefault="0082578B" w:rsidP="008249FA">
      <w:pPr>
        <w:ind w:firstLine="708"/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1. </w:t>
      </w:r>
      <w:r w:rsidR="0082578B">
        <w:rPr>
          <w:rFonts w:ascii="Liberation Serif" w:eastAsia="Liberation Serif" w:hAnsi="Liberation Serif" w:cs="Liberation Serif"/>
        </w:rPr>
        <w:t xml:space="preserve">Утвердить </w:t>
      </w:r>
      <w:r w:rsidR="00AD1F98">
        <w:rPr>
          <w:rFonts w:ascii="Liberation Serif" w:hAnsi="Liberation Serif"/>
        </w:rPr>
        <w:t>форм</w:t>
      </w:r>
      <w:r w:rsidR="000D6AD5">
        <w:rPr>
          <w:rFonts w:ascii="Liberation Serif" w:hAnsi="Liberation Serif"/>
        </w:rPr>
        <w:t>ы</w:t>
      </w:r>
      <w:r w:rsidR="00AD1F98">
        <w:rPr>
          <w:rFonts w:ascii="Liberation Serif" w:hAnsi="Liberation Serif"/>
        </w:rPr>
        <w:t xml:space="preserve"> проверочн</w:t>
      </w:r>
      <w:r w:rsidR="000D6AD5">
        <w:rPr>
          <w:rFonts w:ascii="Liberation Serif" w:hAnsi="Liberation Serif"/>
        </w:rPr>
        <w:t>ых</w:t>
      </w:r>
      <w:r w:rsidR="00AD1F98">
        <w:rPr>
          <w:rFonts w:ascii="Liberation Serif" w:hAnsi="Liberation Serif"/>
        </w:rPr>
        <w:t xml:space="preserve"> лист</w:t>
      </w:r>
      <w:r w:rsidR="000D6AD5">
        <w:rPr>
          <w:rFonts w:ascii="Liberation Serif" w:hAnsi="Liberation Serif"/>
        </w:rPr>
        <w:t>ов</w:t>
      </w:r>
      <w:r w:rsidR="00AD1F98">
        <w:rPr>
          <w:rFonts w:ascii="Liberation Serif" w:hAnsi="Liberation Serif"/>
        </w:rPr>
        <w:t xml:space="preserve"> (списка контрольных вопросов)</w:t>
      </w:r>
      <w:r w:rsidR="000D6AD5">
        <w:rPr>
          <w:rFonts w:ascii="Liberation Serif" w:eastAsia="Liberation Serif" w:hAnsi="Liberation Serif" w:cs="Liberation Serif"/>
        </w:rPr>
        <w:t>, применяемых</w:t>
      </w:r>
      <w:r w:rsidR="0082578B">
        <w:rPr>
          <w:rFonts w:ascii="Liberation Serif" w:eastAsia="Liberation Serif" w:hAnsi="Liberation Serif" w:cs="Liberation Serif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на территории</w:t>
      </w:r>
      <w:r w:rsidR="00AD1F98">
        <w:rPr>
          <w:rFonts w:ascii="Liberation Serif" w:eastAsia="Liberation Serif" w:hAnsi="Liberation Serif" w:cs="Liberation Serif"/>
        </w:rPr>
        <w:t xml:space="preserve"> Невьянского городского округа (прил</w:t>
      </w:r>
      <w:r w:rsidR="000D6AD5">
        <w:rPr>
          <w:rFonts w:ascii="Liberation Serif" w:eastAsia="Liberation Serif" w:hAnsi="Liberation Serif" w:cs="Liberation Serif"/>
        </w:rPr>
        <w:t>ожени</w:t>
      </w:r>
      <w:r w:rsidR="004D1A3A">
        <w:rPr>
          <w:rFonts w:ascii="Liberation Serif" w:eastAsia="Liberation Serif" w:hAnsi="Liberation Serif" w:cs="Liberation Serif"/>
        </w:rPr>
        <w:t>я</w:t>
      </w:r>
      <w:r w:rsidR="000D6AD5">
        <w:rPr>
          <w:rFonts w:ascii="Liberation Serif" w:eastAsia="Liberation Serif" w:hAnsi="Liberation Serif" w:cs="Liberation Serif"/>
        </w:rPr>
        <w:t xml:space="preserve"> № 1</w:t>
      </w:r>
      <w:r w:rsidR="004D1A3A">
        <w:rPr>
          <w:rFonts w:ascii="Liberation Serif" w:eastAsia="Liberation Serif" w:hAnsi="Liberation Serif" w:cs="Liberation Serif"/>
        </w:rPr>
        <w:t>,          № 2, № 3</w:t>
      </w:r>
      <w:r w:rsidR="00AD1F98">
        <w:rPr>
          <w:rFonts w:ascii="Liberation Serif" w:eastAsia="Liberation Serif" w:hAnsi="Liberation Serif" w:cs="Liberation Serif"/>
        </w:rPr>
        <w:t>)</w:t>
      </w:r>
      <w:r w:rsidRPr="00D611D8">
        <w:rPr>
          <w:rFonts w:ascii="Liberation Serif" w:hAnsi="Liberation Serif"/>
        </w:rPr>
        <w:t>.</w:t>
      </w:r>
    </w:p>
    <w:p w:rsidR="00E15723" w:rsidRDefault="00732888" w:rsidP="00732888">
      <w:pPr>
        <w:ind w:firstLine="709"/>
        <w:jc w:val="both"/>
        <w:rPr>
          <w:rFonts w:ascii="Liberation Serif" w:hAnsi="Liberation Serif"/>
          <w:color w:val="000000" w:themeColor="text1"/>
        </w:rPr>
      </w:pPr>
      <w:r w:rsidRPr="00D611D8">
        <w:rPr>
          <w:rFonts w:ascii="Liberation Serif" w:hAnsi="Liberation Serif"/>
        </w:rPr>
        <w:t xml:space="preserve">2. </w:t>
      </w:r>
      <w:r w:rsidR="00AD1F98">
        <w:rPr>
          <w:rFonts w:ascii="Liberation Serif" w:hAnsi="Liberation Serif"/>
          <w:color w:val="000000" w:themeColor="text1"/>
        </w:rPr>
        <w:t>Настоящее постановление вступает в силу с 1 марта 2022 года</w:t>
      </w:r>
      <w:r w:rsidR="00AD1F98" w:rsidRPr="00AC2968">
        <w:rPr>
          <w:rFonts w:ascii="Liberation Serif" w:hAnsi="Liberation Serif"/>
          <w:color w:val="000000" w:themeColor="text1"/>
        </w:rPr>
        <w:t>.</w:t>
      </w:r>
    </w:p>
    <w:p w:rsidR="00E15723" w:rsidRDefault="00732888" w:rsidP="00E15723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3. </w:t>
      </w:r>
      <w:r w:rsidR="00E15723" w:rsidRPr="00E95B12">
        <w:rPr>
          <w:rFonts w:ascii="Liberation Serif" w:hAnsi="Liberation Serif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</w:t>
      </w:r>
      <w:r w:rsidR="00E15723">
        <w:rPr>
          <w:rFonts w:ascii="Liberation Serif" w:hAnsi="Liberation Serif"/>
        </w:rPr>
        <w:t>по энергетике, транспорту, связи и жилищно-коммунальному хозяйству              И.В. Белякова.</w:t>
      </w:r>
    </w:p>
    <w:p w:rsidR="007E3DAF" w:rsidRPr="00E95B12" w:rsidRDefault="00E15723" w:rsidP="007E3DAF">
      <w:pPr>
        <w:pStyle w:val="a6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732888" w:rsidRPr="00D611D8">
        <w:rPr>
          <w:rFonts w:ascii="Liberation Serif" w:hAnsi="Liberation Serif"/>
        </w:rPr>
        <w:t xml:space="preserve">. Настоящее постановление опубликовать в газете </w:t>
      </w:r>
      <w:r w:rsidR="007E3DAF" w:rsidRPr="00E95B12">
        <w:rPr>
          <w:rFonts w:ascii="Liberation Serif" w:hAnsi="Liberation Serif"/>
        </w:rPr>
        <w:t>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732888" w:rsidRPr="00D611D8" w:rsidRDefault="00732888" w:rsidP="007E3DAF">
      <w:pPr>
        <w:ind w:firstLine="709"/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7E3DAF" w:rsidRDefault="00732888" w:rsidP="007E3DAF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7E3DAF">
        <w:rPr>
          <w:rFonts w:ascii="Liberation Serif" w:hAnsi="Liberation Serif"/>
        </w:rPr>
        <w:t xml:space="preserve">     </w:t>
      </w:r>
      <w:r w:rsidR="007E3DAF" w:rsidRPr="00093052">
        <w:rPr>
          <w:rFonts w:ascii="Liberation Serif" w:hAnsi="Liberation Serif"/>
        </w:rPr>
        <w:t>А.А. Берчук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E3DAF" w:rsidRPr="00000127" w:rsidRDefault="007E3DAF" w:rsidP="007E3DAF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D6AD5">
        <w:rPr>
          <w:rFonts w:ascii="Liberation Serif" w:hAnsi="Liberation Serif"/>
        </w:rPr>
        <w:t>Приложение № 1</w:t>
      </w:r>
    </w:p>
    <w:p w:rsidR="007E3DAF" w:rsidRDefault="007E3DAF" w:rsidP="007E3DAF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D6AD5">
        <w:rPr>
          <w:rFonts w:ascii="Liberation Serif" w:hAnsi="Liberation Serif"/>
        </w:rPr>
        <w:t xml:space="preserve">к </w:t>
      </w:r>
      <w:r>
        <w:rPr>
          <w:rFonts w:ascii="Liberation Serif" w:hAnsi="Liberation Serif"/>
        </w:rPr>
        <w:t>постановлени</w:t>
      </w:r>
      <w:r w:rsidR="003437CB">
        <w:rPr>
          <w:rFonts w:ascii="Liberation Serif" w:hAnsi="Liberation Serif"/>
        </w:rPr>
        <w:t>ю</w:t>
      </w:r>
      <w:r>
        <w:rPr>
          <w:rFonts w:ascii="Liberation Serif" w:hAnsi="Liberation Serif"/>
        </w:rPr>
        <w:t xml:space="preserve"> главы</w:t>
      </w:r>
    </w:p>
    <w:p w:rsidR="007E3DAF" w:rsidRPr="00000127" w:rsidRDefault="007E3DAF" w:rsidP="007E3DAF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>Невьянского городского округа</w:t>
      </w:r>
    </w:p>
    <w:p w:rsidR="007E3DAF" w:rsidRPr="00000127" w:rsidRDefault="007E3DAF" w:rsidP="007E3DAF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Pr="00000127">
        <w:rPr>
          <w:rFonts w:ascii="Liberation Serif" w:hAnsi="Liberation Serif"/>
        </w:rPr>
        <w:t xml:space="preserve">              </w:t>
      </w:r>
    </w:p>
    <w:p w:rsidR="007E3DAF" w:rsidRPr="00000127" w:rsidRDefault="007E3DAF" w:rsidP="007E3DAF">
      <w:pPr>
        <w:jc w:val="both"/>
        <w:rPr>
          <w:rFonts w:ascii="Liberation Serif" w:hAnsi="Liberation Serif"/>
          <w:b/>
          <w:i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99349E" w:rsidRPr="00673183" w:rsidRDefault="0099349E" w:rsidP="0099349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99349E" w:rsidRPr="00673183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3437CB" w:rsidRDefault="0099349E" w:rsidP="0099349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>КОНТРОЛЯ НА АВТОМОБИЛЬНОМ ТРАНСПОРТЕ,</w:t>
      </w:r>
      <w:r w:rsidR="00174A88">
        <w:rPr>
          <w:rFonts w:ascii="Liberation Serif" w:hAnsi="Liberation Serif"/>
        </w:rPr>
        <w:t xml:space="preserve"> ГОРОДСКОМ НАЗЕМНОМ ЭЛЕКТРИЧЕСКОМ ТРАНСПОРТЕ И В ДОРОЖНОМ ХОЗЯЙСТВЕ </w:t>
      </w:r>
    </w:p>
    <w:p w:rsidR="003437CB" w:rsidRDefault="003437CB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ПАССАЖИРСКИХ ПЕРЕВОЗОК) </w:t>
      </w:r>
    </w:p>
    <w:p w:rsidR="00732888" w:rsidRPr="00D611D8" w:rsidRDefault="00174A88" w:rsidP="0099349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732888" w:rsidRPr="00D611D8" w:rsidRDefault="00732888" w:rsidP="00732888">
      <w:pPr>
        <w:jc w:val="both"/>
        <w:rPr>
          <w:rFonts w:ascii="Liberation Serif" w:hAnsi="Liberation Serif"/>
        </w:rPr>
      </w:pPr>
    </w:p>
    <w:p w:rsidR="004B33B5" w:rsidRDefault="004B33B5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0"/>
        <w:gridCol w:w="71"/>
      </w:tblGrid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RP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Pr="00F57D49" w:rsidRDefault="00F57D49" w:rsidP="003F7ED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F57D49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/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3F7EDF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(-их) контрольное мероприятие и заполняющего(-их) проверочный лист</w:t>
            </w: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="003F7EDF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"/>
              <w:gridCol w:w="2879"/>
              <w:gridCol w:w="2318"/>
              <w:gridCol w:w="340"/>
              <w:gridCol w:w="405"/>
              <w:gridCol w:w="1464"/>
              <w:gridCol w:w="1918"/>
            </w:tblGrid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F57D49" w:rsidRDefault="00F57D49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0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50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204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3"/>
                    </w:numPr>
                    <w:suppressAutoHyphens/>
                    <w:overflowPunct w:val="0"/>
                    <w:autoSpaceDE w:val="0"/>
                    <w:autoSpaceDN w:val="0"/>
                    <w:ind w:left="274" w:hanging="142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Выполняются ли юридическим лицом или индивидуальным предпринимателем, осуществляющим перевозки по межмуниципальному маршруту регулярных перевозок (далее – контролируемое лицо), с которыми заключен государственный контракт, работы, связанные с осуществлением регулярных перевозок по регулируемым тарифам, в соответствии с требованиями, установленными государственным заказчиком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3 ст. 14Федерального закона 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 220-ФЗ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ConsPlusNormal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Передается ли юридическим лицом или индивидуальным предпринимателем, которому выдано свидетельство об осуществлении перевозок по межмуниципальному маршруту регулярных перевозок, в режиме реального времени информация о месте нахождения транспортного средства, используемого для осуществления регулярных перевозок по нерегулируемым тарифам по маршруту, в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региональную навигационно-информационную систему транспортного комплекса Свердловской области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3 ч. 4 ст. 17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13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июля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2015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Федерации»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Осуществляются ли контролируемым лицом перевозки по маршруту в соответствии с расписанием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ч. 4-5 ст. 19 Федерального закона</w:t>
                  </w:r>
                </w:p>
                <w:p w:rsidR="00F57D49" w:rsidRDefault="00F57D49" w:rsidP="004D1A3A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Остановка транспортных средств для посадки (высадки) пассажиров осуществляется во всех остановочных пунктах маршрута регулярных перевозок, за исключением остановочных пунктов маршрута регулярных перевозок, в которых посадка (высадка) пассажиров осуществляется по их требованию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транспортом»; п. 9 ст. 2 Федерального закона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08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ноября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2007</w:t>
                  </w:r>
                  <w:r w:rsidR="004D1A3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года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№ 259-ФЗ «Устав автомобильного транспорта и городского наземного электрического транспорта»</w:t>
                  </w:r>
                </w:p>
                <w:p w:rsidR="00F57D49" w:rsidRDefault="00F57D49" w:rsidP="008F0940">
                  <w:pPr>
                    <w:ind w:firstLine="440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Указатели, определяющие место остановки транспортного средства для посадки (высадки) пассажиров на остановочных пунктах (за исключением указателей на остановочных пунктах, расположенных на территории автовокзалов, автостанций), содержат следующую обязательную информацию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4D2889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Пассажир имеет право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бесплатного пользования размещенными в зданиях автовокзала, автостанции залами ожидания и туалетами при наличии билета на перевозку по маршруту регулярных перевозок, в состав которого включен этот автовокзал, автостанция, либо копии электронного билета на бумажном носителе или в виде изображения на экране мобильного устройства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п. 13 постановления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Режим работы автовокзала, автостанции должен соответствовать графику прибытия и отправления транспортных средств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На территории и в основном здании автовокзала, автостанции владелец автовокзала, автостанции размещает информацию: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а) о маршрутах регулярных перевозок, в состав которых включены остановочные пункты, расположенные на территории автовокзала, автостанции, в том числе схемы таких маршрутов;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о расписаниях перевозок по маршрутам регулярных перевозок;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 xml:space="preserve">в) о расположении предназначенных для обслуживания пассажиров и перевозчиков помещений автовокзала, автостанции, в том числе залов ожидания, билетных касс, комнаты матери и ребенка (при </w:t>
                  </w:r>
                  <w:r>
                    <w:rPr>
                      <w:rFonts w:ascii="Liberation Serif" w:eastAsia="Liberation Serif" w:hAnsi="Liberation Serif" w:cs="Liberation Serif"/>
                    </w:rPr>
                    <w:lastRenderedPageBreak/>
                    <w:t>наличии), пунктов питания (при наличии), медицинского пункта для оказания первой помощи (при наличии), камеры хранения (при наличии), туалетов, а также о направлениях движения к ним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15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BF258A" w:rsidRDefault="00F57D49" w:rsidP="008F0940">
                  <w:pPr>
                    <w:rPr>
                      <w:sz w:val="24"/>
                      <w:szCs w:val="24"/>
                    </w:rPr>
                  </w:pPr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Информация, предусмотренная </w:t>
                  </w:r>
                  <w:hyperlink r:id="rId9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 xml:space="preserve">пунктом </w:t>
                    </w:r>
                  </w:hyperlink>
                  <w:hyperlink r:id="rId10" w:history="1">
                    <w:r w:rsidRPr="00BF258A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</w:hyperlink>
                  <w:r w:rsidRPr="00BF258A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размещается владельцем автовокзала, автостанции также на официальном сайте владельца автовокзала, автостанции (при наличии) в информационно-телекоммуникационной сети «Интернет» и должна быть доступна для ознакомления на таком сайте без взимания платы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16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над лобовым стеклом транспортного средства и (или) в верхней части лобового стекла, содержит наименования начального и (или) конечного остановочных пунктов и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правой стороне кузова по ходу транспортного средства, содержит номер маршрута регулярных перевозок, а также наименования начального, конечного и одного или нескольких промежуточных остановочных пунктов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19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Указатель маршрута регулярных перевозок, размещаемый на заднем окне транспортного средства, содержит номер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20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Допускается использование информационного электронного табло в качестве указателя маршрута регулярных перевозок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Указатели маршрута регулярных перевозок, указанные в </w:t>
                  </w:r>
                  <w:hyperlink r:id="rId11" w:history="1">
                    <w:r w:rsidRPr="008005B2">
                      <w:rPr>
                        <w:rFonts w:ascii="Liberation Serif" w:eastAsia="Liberation Serif" w:hAnsi="Liberation Serif" w:cs="Liberation Serif"/>
                        <w:color w:val="0000FF"/>
                        <w:sz w:val="24"/>
                        <w:szCs w:val="24"/>
                        <w:u w:val="single"/>
                      </w:rPr>
                      <w:t>пункте 18</w:t>
                    </w:r>
                  </w:hyperlink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Правил перевозок пассажиров и багажа автомобильным транспортом и городским наземным электрическим транспортом, должны быть в темное время суток освещены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22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BF258A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В транспортном средстве с 2 и более дверьми, через которые осуществляется вход пассажиров, за исключением транспортных средств 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", над каждой дверью с наружной стороны перевозчиком укрепляется табличка с надписью "Вход" или наносится надпись "Вход".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Внутри транспортного средства, используемого для регулярных перевозок, перевозчиком размещается следующая обязательная информация: а) наименование, адрес и номер телефона перевозчика, фамилия водителя, а при наличии кондуктора - также фамилия кондуктора;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в)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г)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д) указатели мест расположения огнетушителей;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lastRenderedPageBreak/>
                    <w:t>е) указатели мест расположения кнопок остановки транспортного средства;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ж) указатели аварийных выходов и правила пользования такими выходами;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з) права и обязанности пассажиров согласно настоящим Правилам;</w:t>
                  </w:r>
                </w:p>
                <w:p w:rsidR="00F57D49" w:rsidRDefault="00F57D49" w:rsidP="008F0940">
                  <w:pPr>
                    <w:pStyle w:val="s1"/>
                    <w:spacing w:before="0" w:after="0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t>и)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Pr="008005B2" w:rsidRDefault="00F57D49" w:rsidP="008F0940">
                  <w:pPr>
                    <w:rPr>
                      <w:sz w:val="24"/>
                      <w:szCs w:val="24"/>
                    </w:rPr>
                  </w:pP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 транспортном средстве с 2 и более дверьми, через которые осуществляется выход пассажиров, за исключением транспортных средств категории "M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  <w:vertAlign w:val="subscript"/>
                    </w:rPr>
                    <w:t>2</w:t>
                  </w:r>
                  <w:r w:rsidRPr="008005B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", над каждой дверью с внутренней стороны перевозчиком укрепляется табличка с надписью «Выход» или наносится надпись «Выход»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Проезд пассажиров по маршрутам регулярных перевозок осуществляется по билетам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27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340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В случае если на маршруте регулярных перевозок применяются тарифы, учитывающие различный уровень обслуживания в транспортном средстве (наличие кондиционера,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аудио- и видеоаппаратуры, туалета, багажных полок, предоставление питания и др.), перевозчик вправе указать в билете реквизиты, определяющие класс обслуживания. В этом случае перевозчик заблаговременно доводит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до сведения пассажиров информацию о классе обслуживания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29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Билеты,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пассажирах, оформляются на основании документа, удостоверяющего личность пассажира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31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 оформлении электронного билета все реквизиты такого билета направляются в электронном виде на абонентский номер или адрес электронной почты, если они указаны пассажиром при оформлении электронного билета, или по требованию пассажира выдаются ему перевозчиком в виде копии электронного билета на бумажном носителе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33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В случае прекращения перевозки в связи с неисправностью транспортного средства, аварией или другими причинами пассажиры вправе воспользоваться приобретенным билетом для проезда в другом транспортном средстве,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указанном перевозчиком. Пересадка пассажиров в другое транспортное средство организуется кондуктором или водителем того транспортного средства, на проезд в котором были приобретены билеты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34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пассажиров и багажа автомобильным транспортом и городским наземным электрическим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Продажа билетов для проезда в междугородном сообщении в кассах автовокзалов, автостанций, а также в кассах на транспортно-пересадочных узлах и вокзалах иных видов транспорта, на территории которых расположен остановочный пункт, начинается не менее чем за 10 суток и заканчивается за 5 минут до отправления транспортного средства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35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Сдача багажа перевозчику оформляется багажной квитанцией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45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На каждое место багажа крепится багажная бирка, копия которой выдается пассажиру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п. 48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 01.10.2020 № 1586 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005B2">
                  <w:pPr>
                    <w:numPr>
                      <w:ilvl w:val="0"/>
                      <w:numId w:val="2"/>
                    </w:numPr>
                    <w:suppressAutoHyphens/>
                    <w:overflowPunct w:val="0"/>
                    <w:autoSpaceDE w:val="0"/>
                    <w:autoSpaceDN w:val="0"/>
                    <w:ind w:left="340" w:hanging="208"/>
                    <w:jc w:val="center"/>
                    <w:textAlignment w:val="baseline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В багажной квитанции при сдаче для перевозки багажа с объявленной ценностью указывается объявленная стоимость багажа, а также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сумма дополнительной платы за прием к перевозке багажа с объявленной ценностью</w:t>
                  </w:r>
                </w:p>
              </w:tc>
              <w:tc>
                <w:tcPr>
                  <w:tcW w:w="25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п. 49 постановления Правительства РФ</w:t>
                  </w:r>
                </w:p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от 01.10.2020 № 1586 «Об утверждении Правил перевозок </w:t>
                  </w: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пассажиров и багажа автомобильным транспортом и городским наземным электрическим транспортом»</w:t>
                  </w:r>
                </w:p>
              </w:tc>
              <w:tc>
                <w:tcPr>
                  <w:tcW w:w="3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9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F57D49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57D49" w:rsidRDefault="00F57D49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F57D49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57D49" w:rsidRDefault="00F57D49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F57D49" w:rsidRDefault="00F57D49" w:rsidP="00F57D49">
      <w:pPr>
        <w:ind w:firstLine="4860"/>
        <w:jc w:val="both"/>
        <w:rPr>
          <w:rFonts w:ascii="Liberation Serif" w:eastAsia="Liberation Serif" w:hAnsi="Liberation Serif" w:cs="Liberation Serif"/>
        </w:rPr>
      </w:pPr>
    </w:p>
    <w:p w:rsidR="00F57D49" w:rsidRDefault="00F57D49" w:rsidP="00F57D49">
      <w:r>
        <w:br w:type="page"/>
      </w:r>
    </w:p>
    <w:p w:rsidR="007245C4" w:rsidRPr="00000127" w:rsidRDefault="007245C4" w:rsidP="007245C4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Приложение № </w:t>
      </w:r>
      <w:r w:rsidR="00C7559B">
        <w:rPr>
          <w:rFonts w:ascii="Liberation Serif" w:hAnsi="Liberation Serif"/>
        </w:rPr>
        <w:t>2</w:t>
      </w:r>
    </w:p>
    <w:p w:rsidR="007245C4" w:rsidRDefault="007245C4" w:rsidP="007245C4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к постановлению главы</w:t>
      </w:r>
    </w:p>
    <w:p w:rsidR="007245C4" w:rsidRPr="00000127" w:rsidRDefault="007245C4" w:rsidP="007245C4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>Невьянского городского округа</w:t>
      </w:r>
    </w:p>
    <w:p w:rsidR="002B4828" w:rsidRDefault="007245C4" w:rsidP="007245C4">
      <w:r>
        <w:rPr>
          <w:rFonts w:ascii="Liberation Serif" w:hAnsi="Liberation Serif"/>
        </w:rPr>
        <w:t xml:space="preserve">  </w:t>
      </w:r>
      <w:r w:rsidR="00C7559B">
        <w:rPr>
          <w:rFonts w:ascii="Liberation Serif" w:hAnsi="Liberation Serif"/>
        </w:rPr>
        <w:t xml:space="preserve">                                                                                 </w:t>
      </w:r>
      <w:r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Pr="00000127">
        <w:rPr>
          <w:rFonts w:ascii="Liberation Serif" w:hAnsi="Liberation Serif"/>
        </w:rPr>
        <w:t xml:space="preserve">              </w:t>
      </w:r>
    </w:p>
    <w:p w:rsidR="002B4828" w:rsidRDefault="002B4828" w:rsidP="00732888"/>
    <w:p w:rsidR="0099349E" w:rsidRDefault="0099349E" w:rsidP="00732888"/>
    <w:p w:rsidR="00C7559B" w:rsidRPr="00673183" w:rsidRDefault="00C7559B" w:rsidP="00C7559B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C7559B" w:rsidRPr="00673183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C7559B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ОБЪЕКТОВ ДОРОЖНОГО СЕРВИСА) </w:t>
      </w:r>
    </w:p>
    <w:p w:rsidR="00C7559B" w:rsidRPr="00D611D8" w:rsidRDefault="00C7559B" w:rsidP="00C7559B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C7559B" w:rsidRPr="00D611D8" w:rsidRDefault="00C7559B" w:rsidP="00C7559B">
      <w:pPr>
        <w:jc w:val="both"/>
        <w:rPr>
          <w:rFonts w:ascii="Liberation Serif" w:hAnsi="Liberation Serif"/>
        </w:rPr>
      </w:pPr>
    </w:p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  <w:gridCol w:w="173"/>
      </w:tblGrid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D1A3A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4222A2">
            <w:pPr>
              <w:tabs>
                <w:tab w:val="left" w:pos="993"/>
              </w:tabs>
              <w:spacing w:before="240" w:after="200" w:line="228" w:lineRule="auto"/>
              <w:jc w:val="both"/>
            </w:pPr>
            <w:r>
              <w:rPr>
                <w:rFonts w:ascii="Liberation Serif" w:eastAsia="Liberation Serif" w:hAnsi="Liberation Serif" w:cs="Liberation Serif"/>
              </w:rPr>
              <w:t xml:space="preserve">2.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Форма проверочного листа утверждена постановлением 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 w:rsid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/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965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9498" w:type="dxa"/>
              <w:tblInd w:w="13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"/>
              <w:gridCol w:w="2724"/>
              <w:gridCol w:w="2275"/>
              <w:gridCol w:w="337"/>
              <w:gridCol w:w="405"/>
              <w:gridCol w:w="1464"/>
              <w:gridCol w:w="1739"/>
            </w:tblGrid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  <w:p w:rsidR="008F0940" w:rsidRPr="004222A2" w:rsidRDefault="008F0940" w:rsidP="008F0940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№</w:t>
                  </w:r>
                </w:p>
              </w:tc>
              <w:tc>
                <w:tcPr>
                  <w:tcW w:w="277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 xml:space="preserve">Вопросы, отражающие </w:t>
                  </w: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содержание обязательных требований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1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 xml:space="preserve"> Основание </w:t>
                  </w: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3852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Ответы на вопросы</w:t>
                  </w: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rPr>
                <w:trHeight w:val="2521"/>
              </w:trPr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77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231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A9568E" w:rsidP="00A9568E">
                  <w:pPr>
                    <w:ind w:left="360" w:right="-147" w:hanging="218"/>
                    <w:rPr>
                      <w:rFonts w:ascii="Liberation Serif" w:eastAsia="Liberation Serif" w:hAnsi="Liberation Serif" w:cs="Liberation Serif"/>
                    </w:rPr>
                  </w:pPr>
                  <w:r>
                    <w:rPr>
                      <w:rFonts w:ascii="Liberation Serif" w:eastAsia="Liberation Serif" w:hAnsi="Liberation Serif" w:cs="Liberation Serif"/>
                    </w:rPr>
                    <w:lastRenderedPageBreak/>
                    <w:t>1.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E7598B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2" w:history="1">
                    <w:r w:rsidRPr="00E7598B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 w:rsidR="00E7598B"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 xml:space="preserve">«Об автомобильных дорогах и о дорожной деятельности в Российской Федерации и о внесении изменений в отдельные законодательные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F0940" w:rsidRPr="004222A2" w:rsidRDefault="008F0940" w:rsidP="008F0940">
                  <w:pPr>
                    <w:ind w:firstLine="440"/>
                    <w:rPr>
                      <w:rFonts w:ascii="Liberation Serif" w:hAnsi="Liberation Serif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автомобильных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 xml:space="preserve"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A9568E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  <w:tr w:rsidR="008F0940" w:rsidRPr="004222A2" w:rsidTr="00A9568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F0940" w:rsidRPr="004222A2" w:rsidRDefault="008F0940" w:rsidP="008F0940">
                  <w:pPr>
                    <w:ind w:left="360" w:hanging="76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7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условиями, выдаваемыми владельцем автомобильной дороги регионального значения, а также подъездами, съездами и 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3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года № 257-ФЗ «Об автомобильных дорогах и о дорожной </w:t>
                  </w: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8F0940" w:rsidRPr="004222A2" w:rsidRDefault="008F0940" w:rsidP="008F0940">
                  <w:pPr>
                    <w:rPr>
                      <w:rFonts w:ascii="Liberation Serif" w:hAnsi="Liberation Serif"/>
                    </w:rPr>
                  </w:pPr>
                  <w:r w:rsidRPr="004222A2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F0940" w:rsidRPr="004222A2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F0940" w:rsidRPr="004222A2" w:rsidTr="008F0940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both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F0940" w:rsidRPr="004222A2" w:rsidRDefault="008F0940" w:rsidP="008F0940">
                  <w:pPr>
                    <w:jc w:val="center"/>
                    <w:rPr>
                      <w:rFonts w:ascii="Liberation Serif" w:eastAsia="Liberation Serif" w:hAnsi="Liberation Serif" w:cs="Liberation Serif"/>
                    </w:rPr>
                  </w:pPr>
                  <w:r w:rsidRPr="004222A2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  <w:r w:rsidRPr="004222A2"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8F0940" w:rsidRPr="004222A2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F0940" w:rsidTr="008F0940">
        <w:tblPrEx>
          <w:tblCellMar>
            <w:top w:w="0" w:type="dxa"/>
            <w:bottom w:w="0" w:type="dxa"/>
          </w:tblCellMar>
        </w:tblPrEx>
        <w:tc>
          <w:tcPr>
            <w:tcW w:w="102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F0940" w:rsidRDefault="008F0940" w:rsidP="008F0940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8F0940" w:rsidRDefault="008F0940" w:rsidP="008F0940">
      <w:pPr>
        <w:jc w:val="both"/>
        <w:rPr>
          <w:rFonts w:ascii="Liberation Serif" w:eastAsia="Liberation Serif" w:hAnsi="Liberation Serif" w:cs="Liberation Serif"/>
        </w:rPr>
      </w:pPr>
    </w:p>
    <w:p w:rsidR="008F0940" w:rsidRDefault="008F0940" w:rsidP="008F0940">
      <w:r>
        <w:br w:type="page"/>
      </w:r>
    </w:p>
    <w:p w:rsidR="005C49BE" w:rsidRPr="00000127" w:rsidRDefault="005374D1" w:rsidP="005C49BE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</w:t>
      </w:r>
      <w:r w:rsidR="005C49BE">
        <w:rPr>
          <w:rFonts w:ascii="Liberation Serif" w:hAnsi="Liberation Serif"/>
        </w:rPr>
        <w:t xml:space="preserve">Приложение № </w:t>
      </w:r>
      <w:r>
        <w:rPr>
          <w:rFonts w:ascii="Liberation Serif" w:hAnsi="Liberation Serif"/>
        </w:rPr>
        <w:t>3</w:t>
      </w:r>
    </w:p>
    <w:p w:rsidR="005C49BE" w:rsidRDefault="005C49BE" w:rsidP="005C49BE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к постановлению главы</w:t>
      </w:r>
    </w:p>
    <w:p w:rsidR="005C49BE" w:rsidRPr="00000127" w:rsidRDefault="005C49BE" w:rsidP="005C49BE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Pr="00000127">
        <w:rPr>
          <w:rFonts w:ascii="Liberation Serif" w:hAnsi="Liberation Serif"/>
        </w:rPr>
        <w:t>Невьянского городского округа</w:t>
      </w:r>
    </w:p>
    <w:p w:rsidR="005C49BE" w:rsidRDefault="005C49BE" w:rsidP="005C49BE">
      <w:r>
        <w:rPr>
          <w:rFonts w:ascii="Liberation Serif" w:hAnsi="Liberation Serif"/>
        </w:rPr>
        <w:t xml:space="preserve">                                                                                   </w:t>
      </w:r>
      <w:r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Pr="00000127">
        <w:rPr>
          <w:rFonts w:ascii="Liberation Serif" w:hAnsi="Liberation Serif"/>
        </w:rPr>
        <w:t xml:space="preserve">              </w:t>
      </w:r>
    </w:p>
    <w:p w:rsidR="005C49BE" w:rsidRDefault="005C49BE" w:rsidP="005C49BE"/>
    <w:p w:rsidR="005C49BE" w:rsidRDefault="005C49BE" w:rsidP="005C49BE"/>
    <w:p w:rsidR="005C49BE" w:rsidRPr="00673183" w:rsidRDefault="005C49BE" w:rsidP="005C49BE">
      <w:pPr>
        <w:pStyle w:val="ConsPlusNormal"/>
        <w:jc w:val="center"/>
        <w:outlineLvl w:val="0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ФОРМА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ПРОВЕРОЧНОГО ЛИСТА (СПИСКА КОНТРОЛЬНЫХ ВОПРОСОВ),</w:t>
      </w:r>
    </w:p>
    <w:p w:rsidR="005C49BE" w:rsidRPr="00673183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>ПРИМЕНЯЕМОГО ПРИ ОСУЩЕСТВЛЕНИИ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 w:rsidRPr="00673183">
        <w:rPr>
          <w:rFonts w:ascii="Liberation Serif" w:hAnsi="Liberation Serif"/>
        </w:rPr>
        <w:t xml:space="preserve">МУНИЦИПАЛЬНОГО </w:t>
      </w:r>
      <w:r>
        <w:rPr>
          <w:rFonts w:ascii="Liberation Serif" w:hAnsi="Liberation Serif"/>
        </w:rPr>
        <w:t xml:space="preserve">КОНТРОЛЯ НА АВТОМОБИЛЬНОМ ТРАНСПОРТЕ, ГОРОДСКОМ НАЗЕМНОМ ЭЛЕКТРИЧЕСКОМ ТРАНСПОРТЕ И В ДОРОЖНОМ ХОЗЯЙСТВЕ </w:t>
      </w:r>
    </w:p>
    <w:p w:rsidR="005C49BE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(В ЧАСТИ </w:t>
      </w:r>
      <w:r>
        <w:rPr>
          <w:rFonts w:ascii="Liberation Serif" w:hAnsi="Liberation Serif"/>
        </w:rPr>
        <w:t>КАПИТАЛЬНОГО РЕМОНТА И СОДЕРЖАНИЯ ДОРОГ</w:t>
      </w:r>
      <w:r>
        <w:rPr>
          <w:rFonts w:ascii="Liberation Serif" w:hAnsi="Liberation Serif"/>
        </w:rPr>
        <w:t xml:space="preserve">) </w:t>
      </w:r>
    </w:p>
    <w:p w:rsidR="005C49BE" w:rsidRPr="00D611D8" w:rsidRDefault="005C49BE" w:rsidP="005C49BE">
      <w:pPr>
        <w:pStyle w:val="ConsPlusNormal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 ТЕРРИТОРИИ НЕВЬЯНСКОГО ГОРОДСКОГО ОКРУГА</w:t>
      </w:r>
    </w:p>
    <w:p w:rsidR="0099349E" w:rsidRDefault="0099349E" w:rsidP="00732888"/>
    <w:tbl>
      <w:tblPr>
        <w:tblW w:w="0" w:type="auto"/>
        <w:tblInd w:w="-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3"/>
        <w:gridCol w:w="428"/>
      </w:tblGrid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896E9F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   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C92A24">
            <w:pPr>
              <w:jc w:val="center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896E9F">
            <w:pPr>
              <w:tabs>
                <w:tab w:val="left" w:pos="993"/>
              </w:tabs>
              <w:spacing w:before="240" w:after="200" w:line="228" w:lineRule="auto"/>
              <w:jc w:val="both"/>
              <w:rPr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 xml:space="preserve">главы Невьянского городского округа </w:t>
            </w: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от «___» _________20___ г. №______</w:t>
            </w: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3.  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363" w:type="dxa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C92A24"/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Borders>
              <w:top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7. Должность, фамилия и инициалы должностного лица (лиц) контрольного органа, проводящего(-их) контрольное мероприятие и заполняющего(-их) проверочный лист</w:t>
            </w: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36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42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9"/>
              <w:gridCol w:w="2793"/>
              <w:gridCol w:w="2328"/>
              <w:gridCol w:w="341"/>
              <w:gridCol w:w="405"/>
              <w:gridCol w:w="1464"/>
              <w:gridCol w:w="1921"/>
            </w:tblGrid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ind w:left="340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  <w:p w:rsidR="00896E9F" w:rsidRPr="00896E9F" w:rsidRDefault="00896E9F" w:rsidP="00C92A24">
                  <w:pPr>
                    <w:ind w:left="57"/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191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472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</w:p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пункты 3, 8 Порядка установления и использования полос отвода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896E9F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13" w:history="1">
                    <w:r w:rsidRPr="00896E9F">
                      <w:rPr>
                        <w:rFonts w:ascii="Liberation Serif" w:hAnsi="Liberation Serif"/>
                        <w:sz w:val="24"/>
                        <w:szCs w:val="24"/>
                      </w:rPr>
                      <w:t>кодексом</w:t>
                    </w:r>
                  </w:hyperlink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Российской Федерации и Федеральным законом от 08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ноября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2007</w:t>
                  </w:r>
                  <w:r>
                    <w:rPr>
                      <w:rFonts w:ascii="Liberation Serif" w:hAnsi="Liberation Serif"/>
                      <w:sz w:val="24"/>
                      <w:szCs w:val="24"/>
                    </w:rPr>
                    <w:t xml:space="preserve"> года       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 № 257-ФЗ «Об автомобильных дорогах и о дорожной деятельности в Российской Федерации и о внесении изменений в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 xml:space="preserve">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 13 Порядка установления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896E9F" w:rsidRPr="00896E9F" w:rsidRDefault="00896E9F" w:rsidP="00C92A24">
                  <w:pPr>
                    <w:ind w:firstLine="440"/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Наличие договора о присоединении объекта дорожного сервиса к автомобильной дороге с её владельцем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7 статьи 22 Федерального закона от 08 ноября 2007 года № 257-ФЗ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«Об автомобильных дорогах и о дорожной деятельности в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Наличие согласия в письменной форме владельца автомобильной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часть 11 статьи 22 Федерального закона от 08.11.2007 № 257-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br/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lastRenderedPageBreak/>
                    <w:t>7.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примыканиями, обеспечивающими доступ к 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 xml:space="preserve">часть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      </w: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Федерации»;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пункт 12 Порядка установления</w:t>
                  </w:r>
                </w:p>
                <w:p w:rsidR="00896E9F" w:rsidRPr="00896E9F" w:rsidRDefault="00896E9F" w:rsidP="00C92A24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hAnsi="Liberation Serif"/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4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196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</w:p>
              </w:tc>
            </w:tr>
          </w:tbl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  <w:tbl>
            <w:tblPr>
              <w:tblW w:w="0" w:type="auto"/>
              <w:tblInd w:w="2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495"/>
              <w:gridCol w:w="62"/>
              <w:gridCol w:w="62"/>
              <w:gridCol w:w="62"/>
              <w:gridCol w:w="2279"/>
            </w:tblGrid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</w:tr>
            <w:tr w:rsidR="00896E9F" w:rsidRPr="00896E9F" w:rsidTr="00C92A2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495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both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79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96E9F" w:rsidRPr="00896E9F" w:rsidRDefault="00896E9F" w:rsidP="00C92A24">
                  <w:pPr>
                    <w:jc w:val="center"/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</w:pPr>
                  <w:r w:rsidRPr="00896E9F">
                    <w:rPr>
                      <w:rFonts w:ascii="Liberation Serif" w:eastAsia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896E9F">
              <w:rPr>
                <w:rFonts w:ascii="Liberation Serif" w:eastAsia="Liberation Serif" w:hAnsi="Liberation Serif" w:cs="Liberation Serif"/>
                <w:sz w:val="24"/>
                <w:szCs w:val="24"/>
              </w:rPr>
              <w:t> </w:t>
            </w:r>
          </w:p>
          <w:p w:rsidR="00896E9F" w:rsidRP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</w:tr>
      <w:tr w:rsidR="00896E9F" w:rsidTr="00896E9F">
        <w:tblPrEx>
          <w:tblCellMar>
            <w:top w:w="0" w:type="dxa"/>
            <w:bottom w:w="0" w:type="dxa"/>
          </w:tblCellMar>
        </w:tblPrEx>
        <w:tc>
          <w:tcPr>
            <w:tcW w:w="97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96E9F" w:rsidRDefault="00896E9F" w:rsidP="00C92A24">
            <w:pPr>
              <w:jc w:val="both"/>
              <w:rPr>
                <w:rFonts w:ascii="Liberation Serif" w:eastAsia="Liberation Serif" w:hAnsi="Liberation Serif" w:cs="Liberation Serif"/>
              </w:rPr>
            </w:pPr>
          </w:p>
        </w:tc>
      </w:tr>
    </w:tbl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p w:rsidR="0099349E" w:rsidRDefault="0099349E" w:rsidP="00732888"/>
    <w:sectPr w:rsidR="0099349E" w:rsidSect="000329F9">
      <w:headerReference w:type="default" r:id="rId14"/>
      <w:pgSz w:w="11906" w:h="16838"/>
      <w:pgMar w:top="426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40" w:rsidRDefault="008F0940" w:rsidP="000329F9">
      <w:r>
        <w:separator/>
      </w:r>
    </w:p>
  </w:endnote>
  <w:endnote w:type="continuationSeparator" w:id="0">
    <w:p w:rsidR="008F0940" w:rsidRDefault="008F0940" w:rsidP="0003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40" w:rsidRDefault="008F0940" w:rsidP="000329F9">
      <w:r>
        <w:separator/>
      </w:r>
    </w:p>
  </w:footnote>
  <w:footnote w:type="continuationSeparator" w:id="0">
    <w:p w:rsidR="008F0940" w:rsidRDefault="008F0940" w:rsidP="00032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255990"/>
      <w:docPartObj>
        <w:docPartGallery w:val="Page Numbers (Top of Page)"/>
        <w:docPartUnique/>
      </w:docPartObj>
    </w:sdtPr>
    <w:sdtContent>
      <w:p w:rsidR="008F0940" w:rsidRDefault="008F094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F38">
          <w:rPr>
            <w:noProof/>
          </w:rPr>
          <w:t>2</w:t>
        </w:r>
        <w:r>
          <w:fldChar w:fldCharType="end"/>
        </w:r>
      </w:p>
    </w:sdtContent>
  </w:sdt>
  <w:p w:rsidR="008F0940" w:rsidRDefault="008F094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33B8"/>
    <w:multiLevelType w:val="multilevel"/>
    <w:tmpl w:val="FECEC1A0"/>
    <w:styleLink w:val="num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  <w:num w:numId="3">
    <w:abstractNumId w:val="0"/>
    <w:lvlOverride w:ilvl="0">
      <w:startOverride w:val="1"/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329F9"/>
    <w:rsid w:val="000B7122"/>
    <w:rsid w:val="000D01CD"/>
    <w:rsid w:val="000D6AD5"/>
    <w:rsid w:val="000F773A"/>
    <w:rsid w:val="001473E4"/>
    <w:rsid w:val="00174A88"/>
    <w:rsid w:val="001C3792"/>
    <w:rsid w:val="001D67B8"/>
    <w:rsid w:val="00201212"/>
    <w:rsid w:val="002B4828"/>
    <w:rsid w:val="00302DD3"/>
    <w:rsid w:val="0033333D"/>
    <w:rsid w:val="0034061C"/>
    <w:rsid w:val="003437CB"/>
    <w:rsid w:val="003832BB"/>
    <w:rsid w:val="00391293"/>
    <w:rsid w:val="003D7A9B"/>
    <w:rsid w:val="003F7EDF"/>
    <w:rsid w:val="0041085A"/>
    <w:rsid w:val="00420D4F"/>
    <w:rsid w:val="004222A2"/>
    <w:rsid w:val="004531C1"/>
    <w:rsid w:val="00464CB7"/>
    <w:rsid w:val="00465F3B"/>
    <w:rsid w:val="00477AE5"/>
    <w:rsid w:val="004B33B5"/>
    <w:rsid w:val="004C4E1A"/>
    <w:rsid w:val="004D1A3A"/>
    <w:rsid w:val="004D2889"/>
    <w:rsid w:val="005374D1"/>
    <w:rsid w:val="005729F2"/>
    <w:rsid w:val="005B761F"/>
    <w:rsid w:val="005B7D37"/>
    <w:rsid w:val="005C49BE"/>
    <w:rsid w:val="005F3B35"/>
    <w:rsid w:val="007245C4"/>
    <w:rsid w:val="00732888"/>
    <w:rsid w:val="007E3DAF"/>
    <w:rsid w:val="008005B2"/>
    <w:rsid w:val="008249FA"/>
    <w:rsid w:val="0082578B"/>
    <w:rsid w:val="008921B3"/>
    <w:rsid w:val="00896E9F"/>
    <w:rsid w:val="00897019"/>
    <w:rsid w:val="008D1270"/>
    <w:rsid w:val="008F0940"/>
    <w:rsid w:val="00927DDA"/>
    <w:rsid w:val="00980C7C"/>
    <w:rsid w:val="0099349E"/>
    <w:rsid w:val="009A7454"/>
    <w:rsid w:val="009C346B"/>
    <w:rsid w:val="009D4875"/>
    <w:rsid w:val="009E6E58"/>
    <w:rsid w:val="00A555DF"/>
    <w:rsid w:val="00A9568E"/>
    <w:rsid w:val="00AC5B86"/>
    <w:rsid w:val="00AD1F98"/>
    <w:rsid w:val="00AD3A18"/>
    <w:rsid w:val="00B617C6"/>
    <w:rsid w:val="00B6751A"/>
    <w:rsid w:val="00B97590"/>
    <w:rsid w:val="00BF258A"/>
    <w:rsid w:val="00C177F3"/>
    <w:rsid w:val="00C249AB"/>
    <w:rsid w:val="00C36513"/>
    <w:rsid w:val="00C7559B"/>
    <w:rsid w:val="00D644F4"/>
    <w:rsid w:val="00D7021A"/>
    <w:rsid w:val="00D75B45"/>
    <w:rsid w:val="00D86600"/>
    <w:rsid w:val="00D96F38"/>
    <w:rsid w:val="00D97432"/>
    <w:rsid w:val="00E15589"/>
    <w:rsid w:val="00E15723"/>
    <w:rsid w:val="00E51103"/>
    <w:rsid w:val="00E7598B"/>
    <w:rsid w:val="00F57D49"/>
    <w:rsid w:val="00FB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84C91D0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E3DA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329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934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F57D49"/>
    <w:pPr>
      <w:suppressAutoHyphens/>
      <w:overflowPunct w:val="0"/>
      <w:autoSpaceDE w:val="0"/>
      <w:autoSpaceDN w:val="0"/>
      <w:spacing w:before="100" w:after="100"/>
      <w:textAlignment w:val="baseline"/>
    </w:pPr>
    <w:rPr>
      <w:color w:val="000000"/>
      <w:kern w:val="3"/>
      <w:sz w:val="24"/>
      <w:szCs w:val="24"/>
    </w:rPr>
  </w:style>
  <w:style w:type="numbering" w:customStyle="1" w:styleId="numList1">
    <w:name w:val="numList_1"/>
    <w:basedOn w:val="a2"/>
    <w:rsid w:val="00F57D49"/>
    <w:pPr>
      <w:numPr>
        <w:numId w:val="2"/>
      </w:numPr>
    </w:pPr>
  </w:style>
  <w:style w:type="paragraph" w:styleId="ab">
    <w:name w:val="Balloon Text"/>
    <w:basedOn w:val="a"/>
    <w:link w:val="ac"/>
    <w:uiPriority w:val="99"/>
    <w:semiHidden/>
    <w:unhideWhenUsed/>
    <w:rsid w:val="00980C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80C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6253F76ECBDE74FDB2F986E06BE2A51D2CF20D28159EBC721662C24D5WA5C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253F76ECBDE74FDB2F986E06BE2A51D2CF20D28159EBC721662C24D5WA5C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0F8BFFA3E132DE17B4F6C6C984585B1459864A20B29E4B9AB580910D83B8BFC52110778847D5517ACD5CB977CC7849D2AAB3FE6A394944PBV2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FF19213AA9B6D4E9A576F0748C79213EDE1089967A51EC0B64459D8D0B7595CEF2635559C77C61C8AB7BB9D5BF7F6D52E544027E5CD768jEUE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57BE9-C97E-4723-8204-7F7B00A4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5329</Words>
  <Characters>30380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13</cp:revision>
  <cp:lastPrinted>2022-01-11T12:29:00Z</cp:lastPrinted>
  <dcterms:created xsi:type="dcterms:W3CDTF">2014-11-07T04:53:00Z</dcterms:created>
  <dcterms:modified xsi:type="dcterms:W3CDTF">2022-01-11T12:34:00Z</dcterms:modified>
</cp:coreProperties>
</file>