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EE3687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  <w:r w:rsidRPr="00A3585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742950" cy="1173861"/>
            <wp:effectExtent l="0" t="0" r="0" b="7620"/>
            <wp:wrapTight wrapText="bothSides">
              <wp:wrapPolygon edited="0">
                <wp:start x="0" y="0"/>
                <wp:lineTo x="0" y="21390"/>
                <wp:lineTo x="21046" y="21390"/>
                <wp:lineTo x="21046" y="0"/>
                <wp:lineTo x="0" y="0"/>
              </wp:wrapPolygon>
            </wp:wrapTight>
            <wp:docPr id="8" name="Рисунок 8" descr="C:\Users\korchaginaea\Desktop\66nevyansk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ea\Desktop\66nevyansk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E9E" w:rsidRDefault="00B72E9E" w:rsidP="00A35855">
      <w:pPr>
        <w:pStyle w:val="a8"/>
        <w:tabs>
          <w:tab w:val="left" w:pos="1050"/>
        </w:tabs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40"/>
          <w:szCs w:val="40"/>
        </w:rPr>
      </w:pPr>
    </w:p>
    <w:p w:rsidR="00A35855" w:rsidRDefault="006F0E0E" w:rsidP="00A35855">
      <w:pPr>
        <w:pStyle w:val="a8"/>
        <w:tabs>
          <w:tab w:val="left" w:pos="1050"/>
        </w:tabs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A35855">
        <w:rPr>
          <w:rFonts w:ascii="Liberation Serif" w:hAnsi="Liberation Serif" w:cs="Liberation Serif"/>
          <w:b/>
          <w:sz w:val="40"/>
          <w:szCs w:val="40"/>
        </w:rPr>
        <w:t xml:space="preserve">Администрация </w:t>
      </w:r>
    </w:p>
    <w:p w:rsidR="005F132A" w:rsidRPr="00A35855" w:rsidRDefault="006F0E0E" w:rsidP="00A35855">
      <w:pPr>
        <w:pStyle w:val="a8"/>
        <w:tabs>
          <w:tab w:val="left" w:pos="1050"/>
        </w:tabs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A35855">
        <w:rPr>
          <w:rFonts w:ascii="Liberation Serif" w:hAnsi="Liberation Serif" w:cs="Liberation Serif"/>
          <w:b/>
          <w:sz w:val="40"/>
          <w:szCs w:val="40"/>
        </w:rPr>
        <w:t>Невьянского городского округа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360F7F" w:rsidRDefault="005F132A" w:rsidP="00B72E9E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</w:t>
            </w:r>
            <w:r w:rsidR="002F64A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, разрешение </w:t>
            </w:r>
            <w:r w:rsidR="009B0DFE">
              <w:rPr>
                <w:rFonts w:ascii="Liberation Serif" w:hAnsi="Liberation Serif" w:cs="Liberation Serif"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93" w:rsidRDefault="00FA5E93" w:rsidP="00356146">
      <w:r>
        <w:separator/>
      </w:r>
    </w:p>
  </w:endnote>
  <w:endnote w:type="continuationSeparator" w:id="0">
    <w:p w:rsidR="00FA5E93" w:rsidRDefault="00FA5E93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93" w:rsidRDefault="00FA5E93" w:rsidP="00356146">
      <w:r>
        <w:separator/>
      </w:r>
    </w:p>
  </w:footnote>
  <w:footnote w:type="continuationSeparator" w:id="0">
    <w:p w:rsidR="00FA5E93" w:rsidRDefault="00FA5E93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2F64A6"/>
    <w:rsid w:val="00356146"/>
    <w:rsid w:val="00360F7F"/>
    <w:rsid w:val="004E7A1E"/>
    <w:rsid w:val="005D6240"/>
    <w:rsid w:val="005F132A"/>
    <w:rsid w:val="00633A0C"/>
    <w:rsid w:val="006F0E0E"/>
    <w:rsid w:val="0076593E"/>
    <w:rsid w:val="007B73F1"/>
    <w:rsid w:val="007F25AE"/>
    <w:rsid w:val="00990466"/>
    <w:rsid w:val="009B0DFE"/>
    <w:rsid w:val="009E79A0"/>
    <w:rsid w:val="00A35855"/>
    <w:rsid w:val="00B11518"/>
    <w:rsid w:val="00B35395"/>
    <w:rsid w:val="00B72E9E"/>
    <w:rsid w:val="00C00E14"/>
    <w:rsid w:val="00D34DFC"/>
    <w:rsid w:val="00D9718B"/>
    <w:rsid w:val="00EE3687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4EA67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Normal (Web)"/>
    <w:basedOn w:val="a"/>
    <w:uiPriority w:val="99"/>
    <w:unhideWhenUsed/>
    <w:rsid w:val="00A358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Elena A. Korchagina</cp:lastModifiedBy>
  <cp:revision>4</cp:revision>
  <dcterms:created xsi:type="dcterms:W3CDTF">2024-02-27T09:42:00Z</dcterms:created>
  <dcterms:modified xsi:type="dcterms:W3CDTF">2024-02-27T09:49:00Z</dcterms:modified>
</cp:coreProperties>
</file>