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г.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870DC6" w:rsidRDefault="002A1316" w:rsidP="002A131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870DC6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</w:t>
      </w:r>
      <w:r w:rsidRPr="00445BE6">
        <w:rPr>
          <w:rFonts w:ascii="Liberation Serif" w:hAnsi="Liberation Serif"/>
          <w:iCs/>
          <w:color w:val="000000"/>
        </w:rPr>
        <w:t xml:space="preserve"> 15</w:t>
      </w:r>
      <w:r>
        <w:rPr>
          <w:rFonts w:ascii="Liberation Serif" w:hAnsi="Liberation Serif"/>
          <w:iCs/>
          <w:color w:val="000000"/>
        </w:rPr>
        <w:t>.12.2021</w:t>
      </w:r>
      <w:r w:rsidRPr="00870DC6">
        <w:rPr>
          <w:rFonts w:ascii="Liberation Serif" w:hAnsi="Liberation Serif"/>
          <w:iCs/>
          <w:color w:val="000000"/>
        </w:rPr>
        <w:t xml:space="preserve"> №</w:t>
      </w:r>
      <w:r>
        <w:rPr>
          <w:rFonts w:ascii="Liberation Serif" w:hAnsi="Liberation Serif"/>
          <w:iCs/>
          <w:color w:val="000000"/>
        </w:rPr>
        <w:t xml:space="preserve"> 120</w:t>
      </w:r>
      <w:r w:rsidRPr="00870DC6">
        <w:rPr>
          <w:rFonts w:ascii="Liberation Serif" w:hAnsi="Liberation Serif"/>
          <w:iCs/>
          <w:color w:val="000000"/>
        </w:rPr>
        <w:t xml:space="preserve"> «О бюджете Невьянского городского округа на 2022 год и плановый период 2023 и 2024 годов»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1) 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</w:t>
      </w:r>
      <w:r w:rsidRPr="00870DC6">
        <w:rPr>
          <w:rFonts w:ascii="Liberation Serif" w:hAnsi="Liberation Serif"/>
        </w:rPr>
        <w:lastRenderedPageBreak/>
        <w:t>собственность на которые не разграничена, до 2024 года» изложить в следующей редакции (приложение № 1);</w:t>
      </w: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2)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(приложение № 2);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187 475,87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2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616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80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10 3</w:t>
            </w:r>
            <w:r>
              <w:rPr>
                <w:rFonts w:ascii="Liberation Serif" w:hAnsi="Liberation Serif"/>
                <w:color w:val="000000"/>
              </w:rPr>
              <w:t>28</w:t>
            </w:r>
            <w:r w:rsidRPr="00870DC6">
              <w:rPr>
                <w:rFonts w:ascii="Liberation Serif" w:hAnsi="Liberation Serif"/>
                <w:color w:val="000000"/>
              </w:rPr>
              <w:t>,3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1 5</w:t>
            </w:r>
            <w:r>
              <w:rPr>
                <w:rFonts w:ascii="Liberation Serif" w:hAnsi="Liberation Serif"/>
                <w:color w:val="000000"/>
              </w:rPr>
              <w:t>33</w:t>
            </w:r>
            <w:r w:rsidRPr="00870DC6">
              <w:rPr>
                <w:rFonts w:ascii="Liberation Serif" w:hAnsi="Liberation Serif"/>
                <w:color w:val="000000"/>
              </w:rPr>
              <w:t>,9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</w:r>
            <w:r w:rsidRPr="00870DC6">
              <w:rPr>
                <w:rFonts w:ascii="Liberation Serif" w:hAnsi="Liberation Serif"/>
                <w:color w:val="000000"/>
              </w:rPr>
              <w:lastRenderedPageBreak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18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1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057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>4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Default="002A1316" w:rsidP="002A1316">
      <w:r>
        <w:t>Глава Невьянского</w:t>
      </w:r>
    </w:p>
    <w:p w:rsidR="002A1316" w:rsidRDefault="002A1316" w:rsidP="002A1316">
      <w:pPr>
        <w:jc w:val="center"/>
      </w:pPr>
      <w:r w:rsidRPr="00AC2069">
        <w:t xml:space="preserve">городского округа                                            </w:t>
      </w:r>
      <w:r>
        <w:t xml:space="preserve"> </w:t>
      </w:r>
      <w:r w:rsidRPr="00AC2069">
        <w:t xml:space="preserve">    </w:t>
      </w:r>
      <w:r>
        <w:t xml:space="preserve">        </w:t>
      </w:r>
      <w:r w:rsidRPr="00AC2069">
        <w:t xml:space="preserve"> </w:t>
      </w:r>
      <w:r>
        <w:t xml:space="preserve">                           А.А. </w:t>
      </w:r>
      <w:proofErr w:type="spellStart"/>
      <w:r>
        <w:t>Берчук</w:t>
      </w:r>
      <w:proofErr w:type="spellEnd"/>
      <w: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52386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9524E6" w:rsidRPr="00CB59FB" w:rsidRDefault="009524E6" w:rsidP="009524E6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</w:t>
      </w:r>
      <w:r>
        <w:rPr>
          <w:rFonts w:ascii="Liberation Serif" w:hAnsi="Liberation Serif"/>
          <w:sz w:val="22"/>
          <w:szCs w:val="22"/>
        </w:rPr>
        <w:t>1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9524E6" w:rsidRDefault="009524E6" w:rsidP="003064C5">
      <w:pPr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9524E6" w:rsidTr="009524E6">
        <w:trPr>
          <w:trHeight w:val="525"/>
        </w:trPr>
        <w:tc>
          <w:tcPr>
            <w:tcW w:w="15026" w:type="dxa"/>
            <w:noWrap/>
            <w:vAlign w:val="center"/>
            <w:hideMark/>
          </w:tcPr>
          <w:p w:rsidR="009524E6" w:rsidRDefault="009524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524E6" w:rsidTr="009524E6">
        <w:trPr>
          <w:trHeight w:val="255"/>
        </w:trPr>
        <w:tc>
          <w:tcPr>
            <w:tcW w:w="15026" w:type="dxa"/>
            <w:noWrap/>
            <w:vAlign w:val="center"/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524E6" w:rsidTr="009524E6">
        <w:trPr>
          <w:trHeight w:val="510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36"/>
        <w:gridCol w:w="1223"/>
        <w:gridCol w:w="934"/>
        <w:gridCol w:w="933"/>
        <w:gridCol w:w="933"/>
        <w:gridCol w:w="933"/>
        <w:gridCol w:w="933"/>
        <w:gridCol w:w="933"/>
        <w:gridCol w:w="933"/>
        <w:gridCol w:w="924"/>
        <w:gridCol w:w="933"/>
        <w:gridCol w:w="2029"/>
      </w:tblGrid>
      <w:tr w:rsidR="009524E6" w:rsidTr="009524E6">
        <w:trPr>
          <w:cantSplit/>
          <w:trHeight w:val="39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36"/>
        <w:gridCol w:w="1223"/>
        <w:gridCol w:w="934"/>
        <w:gridCol w:w="933"/>
        <w:gridCol w:w="933"/>
        <w:gridCol w:w="933"/>
        <w:gridCol w:w="933"/>
        <w:gridCol w:w="933"/>
        <w:gridCol w:w="933"/>
        <w:gridCol w:w="924"/>
        <w:gridCol w:w="933"/>
        <w:gridCol w:w="2029"/>
      </w:tblGrid>
      <w:tr w:rsidR="009524E6" w:rsidTr="009524E6">
        <w:trPr>
          <w:cantSplit/>
          <w:trHeight w:val="255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21.07.1997 г. № 122-ФЗ (ред. от 21.07.2014 г.) "О государственной регистрации прав на недвижимое имущество и сделок с ним" 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Приватизация муниципального имущества, не задействованного в решении вопросов местного значения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21.12.2001 г. № 178-ФЗ "О приватизации государственного и муниципального имущества"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Вовлечение максимального количества объектов муниципальной собственности в оборот</w:t>
            </w:r>
          </w:p>
        </w:tc>
      </w:tr>
      <w:tr w:rsidR="009524E6" w:rsidTr="009524E6">
        <w:trPr>
          <w:cantSplit/>
          <w:trHeight w:val="12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26.07.2006 г. № 135-ФЗ "О защите конкуренции" </w:t>
            </w:r>
          </w:p>
        </w:tc>
      </w:tr>
      <w:tr w:rsidR="009524E6" w:rsidTr="009524E6">
        <w:trPr>
          <w:cantSplit/>
          <w:trHeight w:val="48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1.3.2.-.0.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 Вовлечение в гражданский оборот бесхозяйного и выморочного имущества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9524E6" w:rsidTr="009524E6">
        <w:trPr>
          <w:cantSplit/>
          <w:trHeight w:val="17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"Обеспечение жильем молодых семей на территории Невьянского городского округа на 2016-2024 годы"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 Предоставление мер государственной поддержки в решении жилищной проблемы молодым семьям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мер государственной поддержки в решении жилищной проблемы молодым семьям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социальную выплату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 Предоставление региональной поддержки молодым семьям на улучшение жилищных условий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региональных социальных выплат молодым семьям на улучшение жилищных условий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."</w:t>
            </w: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lastRenderedPageBreak/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</w:t>
      </w:r>
      <w:r w:rsidR="009524E6">
        <w:rPr>
          <w:rFonts w:ascii="Liberation Serif" w:hAnsi="Liberation Serif"/>
          <w:sz w:val="22"/>
          <w:szCs w:val="22"/>
        </w:rPr>
        <w:t>2</w:t>
      </w:r>
      <w:r w:rsidR="00CB59FB">
        <w:rPr>
          <w:rFonts w:ascii="Liberation Serif" w:hAnsi="Liberation Serif"/>
          <w:sz w:val="22"/>
          <w:szCs w:val="22"/>
        </w:rPr>
        <w:t xml:space="preserve">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2A1316" w:rsidTr="002A1316">
        <w:trPr>
          <w:cantSplit/>
          <w:trHeight w:val="2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A1316" w:rsidTr="002A1316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2A1316" w:rsidTr="002A1316">
        <w:trPr>
          <w:cantSplit/>
          <w:trHeight w:val="255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187 475,87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22 616,80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118 929,01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16 057,64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187 475,87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22 616,80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118 929,01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16 057,64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40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4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3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5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47 573,04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2 254,00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47 573,04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2 254,00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3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2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2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2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3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8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63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9 946,86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9 601,84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40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8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8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62 101,40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62 101,40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62 101,40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1 533,96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7 790,64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35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17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316" w:rsidRDefault="002A1316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2A1316" w:rsidTr="002A1316">
        <w:trPr>
          <w:cantSplit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6" w:rsidRDefault="002A1316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3064C5" w:rsidP="003064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3064C5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8A2611" w:rsidP="008A261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8A2611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bookmarkStart w:id="0" w:name="_GoBack"/>
            <w:r w:rsidR="002A1316">
              <w:fldChar w:fldCharType="begin"/>
            </w:r>
            <w:r w:rsidR="002A1316">
              <w:instrText xml:space="preserve"> HYPERLINK "x-psi-atstyle:admp@usla.ru" </w:instrText>
            </w:r>
            <w:r w:rsidR="002A1316">
              <w:fldChar w:fldCharType="separate"/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admp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@</w:t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usla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2A1316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2A1316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bookmarkEnd w:id="0"/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F901F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5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16" w:rsidRDefault="002A1316" w:rsidP="0099614D">
      <w:r>
        <w:separator/>
      </w:r>
    </w:p>
  </w:endnote>
  <w:endnote w:type="continuationSeparator" w:id="0">
    <w:p w:rsidR="002A1316" w:rsidRDefault="002A1316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16" w:rsidRDefault="002A1316" w:rsidP="0099614D">
      <w:r>
        <w:separator/>
      </w:r>
    </w:p>
  </w:footnote>
  <w:footnote w:type="continuationSeparator" w:id="0">
    <w:p w:rsidR="002A1316" w:rsidRDefault="002A1316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2A1316" w:rsidRDefault="002A13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A7">
          <w:rPr>
            <w:noProof/>
          </w:rPr>
          <w:t>21</w:t>
        </w:r>
        <w:r>
          <w:fldChar w:fldCharType="end"/>
        </w:r>
      </w:p>
    </w:sdtContent>
  </w:sdt>
  <w:p w:rsidR="002A1316" w:rsidRDefault="002A13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16" w:rsidRDefault="002A1316" w:rsidP="00AE5E0D">
    <w:pPr>
      <w:pStyle w:val="a8"/>
    </w:pPr>
  </w:p>
  <w:p w:rsidR="002A1316" w:rsidRPr="00AE5E0D" w:rsidRDefault="002A1316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16" w:rsidRDefault="002A1316">
    <w:pPr>
      <w:pStyle w:val="a8"/>
      <w:jc w:val="center"/>
    </w:pPr>
  </w:p>
  <w:p w:rsidR="002A1316" w:rsidRDefault="002A13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2814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94637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x-psi-atstyle:grachevam@yandex.ru" TargetMode="External"/><Relationship Id="rId26" Type="http://schemas.openxmlformats.org/officeDocument/2006/relationships/hyperlink" Target="x-psi-atstyle:Izot83@yandex.ru" TargetMode="External"/><Relationship Id="rId21" Type="http://schemas.openxmlformats.org/officeDocument/2006/relationships/hyperlink" Target="x-psi-atstyle:afanaseva-nf@bk.ru" TargetMode="External"/><Relationship Id="rId34" Type="http://schemas.openxmlformats.org/officeDocument/2006/relationships/hyperlink" Target="x-psi-atstyle:gam002@usla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igorkulema@yandex.ru" TargetMode="External"/><Relationship Id="rId17" Type="http://schemas.openxmlformats.org/officeDocument/2006/relationships/hyperlink" Target="x-psi-atstyle:anatolii.rassohi@mail.ru" TargetMode="External"/><Relationship Id="rId25" Type="http://schemas.openxmlformats.org/officeDocument/2006/relationships/hyperlink" Target="x-psi-atstyle:mssolovyev@gmail.com" TargetMode="External"/><Relationship Id="rId33" Type="http://schemas.openxmlformats.org/officeDocument/2006/relationships/hyperlink" Target="x-psi-atstyle:miha-tif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nashcomitet@mail.ru" TargetMode="External"/><Relationship Id="rId20" Type="http://schemas.openxmlformats.org/officeDocument/2006/relationships/hyperlink" Target="x-psi-atstyle:absatarovaer@yandex.ru" TargetMode="External"/><Relationship Id="rId29" Type="http://schemas.openxmlformats.org/officeDocument/2006/relationships/hyperlink" Target="x-psi-atstyle:help@npcstat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mila-berg@mail.ru" TargetMode="External"/><Relationship Id="rId24" Type="http://schemas.openxmlformats.org/officeDocument/2006/relationships/hyperlink" Target="x-psi-atstyle:argus.83@mail.ru" TargetMode="External"/><Relationship Id="rId32" Type="http://schemas.openxmlformats.org/officeDocument/2006/relationships/hyperlink" Target="x-psi-atstyle:legotinmpren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psi-atstyle:polyanina-mariya@mail.ru" TargetMode="External"/><Relationship Id="rId23" Type="http://schemas.openxmlformats.org/officeDocument/2006/relationships/hyperlink" Target="x-psi-atstyle:171080pvs@gmail.com" TargetMode="External"/><Relationship Id="rId28" Type="http://schemas.openxmlformats.org/officeDocument/2006/relationships/hyperlink" Target="x-psi-atstyle:S.Makowski@mail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x-psi-atstyle:mosorova@list.ru" TargetMode="External"/><Relationship Id="rId31" Type="http://schemas.openxmlformats.org/officeDocument/2006/relationships/hyperlink" Target="x-psi-atstyle:deeva_mari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urrrist@mail.ru" TargetMode="External"/><Relationship Id="rId22" Type="http://schemas.openxmlformats.org/officeDocument/2006/relationships/hyperlink" Target="x-psi-atstyle:79122750999@yandex.ru" TargetMode="External"/><Relationship Id="rId27" Type="http://schemas.openxmlformats.org/officeDocument/2006/relationships/hyperlink" Target="x-psi-atstyle:9122210550@mail.ru" TargetMode="External"/><Relationship Id="rId30" Type="http://schemas.openxmlformats.org/officeDocument/2006/relationships/hyperlink" Target="x-psi-atstyle:yashkina3@mail.ru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20DC-94AF-497A-907D-741D3BE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26</cp:revision>
  <cp:lastPrinted>2022-02-02T05:12:00Z</cp:lastPrinted>
  <dcterms:created xsi:type="dcterms:W3CDTF">2020-10-16T08:03:00Z</dcterms:created>
  <dcterms:modified xsi:type="dcterms:W3CDTF">2022-02-02T05:20:00Z</dcterms:modified>
</cp:coreProperties>
</file>