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2C" w:rsidRPr="0067047E" w:rsidRDefault="0058622C" w:rsidP="0058622C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Приложение № 1</w:t>
      </w:r>
    </w:p>
    <w:p w:rsidR="0058622C" w:rsidRPr="0067047E" w:rsidRDefault="0058622C" w:rsidP="0058622C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УТВЕРЖДЕНА</w:t>
      </w:r>
    </w:p>
    <w:p w:rsidR="0058622C" w:rsidRPr="0067047E" w:rsidRDefault="0058622C" w:rsidP="0058622C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58622C" w:rsidRPr="0067047E" w:rsidRDefault="0058622C" w:rsidP="0058622C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58622C" w:rsidRPr="0067047E" w:rsidRDefault="00593C71" w:rsidP="0058622C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r w:rsidRPr="00593C71">
        <w:rPr>
          <w:rFonts w:ascii="Liberation Serif" w:hAnsi="Liberation Serif"/>
          <w:color w:val="000000"/>
        </w:rPr>
        <w:t>21</w:t>
      </w:r>
      <w:r>
        <w:rPr>
          <w:rFonts w:ascii="Liberation Serif" w:hAnsi="Liberation Serif"/>
          <w:color w:val="000000"/>
        </w:rPr>
        <w:t>.</w:t>
      </w:r>
      <w:r w:rsidRPr="00593C71">
        <w:rPr>
          <w:rFonts w:ascii="Liberation Serif" w:hAnsi="Liberation Serif"/>
          <w:color w:val="000000"/>
        </w:rPr>
        <w:t>12</w:t>
      </w:r>
      <w:r>
        <w:rPr>
          <w:rFonts w:ascii="Liberation Serif" w:hAnsi="Liberation Serif"/>
          <w:color w:val="000000"/>
        </w:rPr>
        <w:t>.</w:t>
      </w:r>
      <w:r w:rsidR="0058622C">
        <w:rPr>
          <w:rFonts w:ascii="Liberation Serif" w:hAnsi="Liberation Serif"/>
          <w:color w:val="000000"/>
        </w:rPr>
        <w:t xml:space="preserve">2022 </w:t>
      </w:r>
      <w:r w:rsidR="0058622C" w:rsidRPr="0067047E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132</w:t>
      </w:r>
      <w:r w:rsidR="0058622C">
        <w:rPr>
          <w:rFonts w:ascii="Liberation Serif" w:hAnsi="Liberation Serif"/>
          <w:color w:val="000000"/>
        </w:rPr>
        <w:t xml:space="preserve"> </w:t>
      </w:r>
      <w:r w:rsidR="0058622C" w:rsidRPr="0067047E">
        <w:rPr>
          <w:rFonts w:ascii="Liberation Serif" w:hAnsi="Liberation Serif"/>
          <w:color w:val="000000"/>
        </w:rPr>
        <w:t xml:space="preserve">- </w:t>
      </w:r>
      <w:proofErr w:type="spellStart"/>
      <w:r w:rsidR="0058622C" w:rsidRPr="0067047E">
        <w:rPr>
          <w:rFonts w:ascii="Liberation Serif" w:hAnsi="Liberation Serif"/>
          <w:color w:val="000000"/>
        </w:rPr>
        <w:t>гп</w:t>
      </w:r>
      <w:proofErr w:type="spellEnd"/>
    </w:p>
    <w:p w:rsidR="0058622C" w:rsidRDefault="0058622C" w:rsidP="0067047E">
      <w:pPr>
        <w:tabs>
          <w:tab w:val="left" w:pos="12780"/>
          <w:tab w:val="left" w:pos="12960"/>
        </w:tabs>
        <w:jc w:val="center"/>
        <w:rPr>
          <w:rFonts w:ascii="Liberation Serif" w:hAnsi="Liberation Serif"/>
          <w:bCs/>
          <w:color w:val="000000"/>
        </w:rPr>
      </w:pPr>
    </w:p>
    <w:p w:rsidR="0067047E" w:rsidRPr="0067047E" w:rsidRDefault="0067047E" w:rsidP="0067047E">
      <w:pPr>
        <w:tabs>
          <w:tab w:val="left" w:pos="12780"/>
          <w:tab w:val="left" w:pos="12960"/>
        </w:tabs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Карта </w:t>
      </w:r>
      <w:proofErr w:type="spellStart"/>
      <w:r w:rsidRPr="0067047E">
        <w:rPr>
          <w:rFonts w:ascii="Liberation Serif" w:hAnsi="Liberation Serif"/>
          <w:bCs/>
          <w:color w:val="000000"/>
        </w:rPr>
        <w:t>комплаенс</w:t>
      </w:r>
      <w:proofErr w:type="spellEnd"/>
      <w:r w:rsidRPr="0067047E">
        <w:rPr>
          <w:rFonts w:ascii="Liberation Serif" w:hAnsi="Liberation Serif"/>
          <w:bCs/>
          <w:color w:val="000000"/>
        </w:rPr>
        <w:t xml:space="preserve"> - рисков</w:t>
      </w: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="00CE41FA">
        <w:rPr>
          <w:rFonts w:ascii="Liberation Serif" w:hAnsi="Liberation Serif"/>
          <w:bCs/>
          <w:color w:val="000000"/>
        </w:rPr>
        <w:t>на 202</w:t>
      </w:r>
      <w:r w:rsidR="00351B16" w:rsidRPr="00351B16">
        <w:rPr>
          <w:rFonts w:ascii="Liberation Serif" w:hAnsi="Liberation Serif"/>
          <w:bCs/>
          <w:color w:val="000000"/>
        </w:rPr>
        <w:t>3</w:t>
      </w:r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67047E" w:rsidRPr="0067047E" w:rsidRDefault="0067047E" w:rsidP="0067047E">
      <w:pPr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35"/>
        <w:gridCol w:w="2150"/>
        <w:gridCol w:w="3659"/>
        <w:gridCol w:w="2358"/>
        <w:gridCol w:w="2138"/>
        <w:gridCol w:w="2082"/>
      </w:tblGrid>
      <w:tr w:rsidR="0067047E" w:rsidRPr="00C7212F" w:rsidTr="00CE3340">
        <w:trPr>
          <w:trHeight w:val="450"/>
          <w:jc w:val="center"/>
        </w:trPr>
        <w:tc>
          <w:tcPr>
            <w:tcW w:w="914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Номер строки</w:t>
            </w:r>
          </w:p>
        </w:tc>
        <w:tc>
          <w:tcPr>
            <w:tcW w:w="1335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Уровень </w:t>
            </w:r>
          </w:p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риска</w:t>
            </w:r>
          </w:p>
        </w:tc>
        <w:tc>
          <w:tcPr>
            <w:tcW w:w="2150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proofErr w:type="spellStart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Комплаенс</w:t>
            </w:r>
            <w:proofErr w:type="spellEnd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 - </w:t>
            </w:r>
          </w:p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риск </w:t>
            </w:r>
          </w:p>
        </w:tc>
        <w:tc>
          <w:tcPr>
            <w:tcW w:w="3659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Причины (условия)</w:t>
            </w:r>
          </w:p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 возникновения рисков</w:t>
            </w:r>
          </w:p>
        </w:tc>
        <w:tc>
          <w:tcPr>
            <w:tcW w:w="2358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Структурное подразделение, </w:t>
            </w:r>
          </w:p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в котором выявлены </w:t>
            </w:r>
            <w:proofErr w:type="spellStart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комплаенс</w:t>
            </w:r>
            <w:proofErr w:type="spellEnd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-риски</w:t>
            </w:r>
          </w:p>
        </w:tc>
        <w:tc>
          <w:tcPr>
            <w:tcW w:w="2138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Наличие (отсутствие) остаточных </w:t>
            </w:r>
            <w:proofErr w:type="spellStart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комплаенс</w:t>
            </w:r>
            <w:proofErr w:type="spellEnd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-рисков</w:t>
            </w:r>
          </w:p>
        </w:tc>
        <w:tc>
          <w:tcPr>
            <w:tcW w:w="2082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Вероятность повторного возникновения </w:t>
            </w:r>
            <w:proofErr w:type="spellStart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комплаенс</w:t>
            </w:r>
            <w:proofErr w:type="spellEnd"/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-риска</w:t>
            </w:r>
          </w:p>
        </w:tc>
      </w:tr>
      <w:tr w:rsidR="0067047E" w:rsidRPr="00C7212F" w:rsidTr="00CE3340">
        <w:trPr>
          <w:trHeight w:val="450"/>
          <w:jc w:val="center"/>
        </w:trPr>
        <w:tc>
          <w:tcPr>
            <w:tcW w:w="914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1</w:t>
            </w:r>
          </w:p>
        </w:tc>
        <w:tc>
          <w:tcPr>
            <w:tcW w:w="1335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50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3</w:t>
            </w:r>
          </w:p>
        </w:tc>
        <w:tc>
          <w:tcPr>
            <w:tcW w:w="3659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4</w:t>
            </w:r>
          </w:p>
        </w:tc>
        <w:tc>
          <w:tcPr>
            <w:tcW w:w="2358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5</w:t>
            </w:r>
          </w:p>
        </w:tc>
        <w:tc>
          <w:tcPr>
            <w:tcW w:w="2138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6</w:t>
            </w:r>
          </w:p>
        </w:tc>
        <w:tc>
          <w:tcPr>
            <w:tcW w:w="2082" w:type="dxa"/>
          </w:tcPr>
          <w:p w:rsidR="0067047E" w:rsidRPr="00C7212F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7</w:t>
            </w:r>
          </w:p>
        </w:tc>
      </w:tr>
      <w:tr w:rsidR="0067047E" w:rsidRPr="00C7212F" w:rsidTr="00CE3340">
        <w:trPr>
          <w:trHeight w:val="450"/>
          <w:jc w:val="center"/>
        </w:trPr>
        <w:tc>
          <w:tcPr>
            <w:tcW w:w="914" w:type="dxa"/>
          </w:tcPr>
          <w:p w:rsidR="0067047E" w:rsidRPr="00C7212F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</w:p>
        </w:tc>
        <w:tc>
          <w:tcPr>
            <w:tcW w:w="1335" w:type="dxa"/>
          </w:tcPr>
          <w:p w:rsidR="0067047E" w:rsidRPr="00C7212F" w:rsidRDefault="00840F21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Высо</w:t>
            </w:r>
            <w:r w:rsidR="0067047E"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кий </w:t>
            </w:r>
          </w:p>
        </w:tc>
        <w:tc>
          <w:tcPr>
            <w:tcW w:w="2150" w:type="dxa"/>
          </w:tcPr>
          <w:p w:rsidR="0066165B" w:rsidRDefault="0067047E" w:rsidP="0058622C">
            <w:pPr>
              <w:jc w:val="center"/>
              <w:rPr>
                <w:rFonts w:ascii="Liberation Serif" w:hAnsi="Liberation Serif"/>
                <w:sz w:val="20"/>
              </w:rPr>
            </w:pPr>
            <w:r w:rsidRPr="00C7212F">
              <w:rPr>
                <w:rFonts w:ascii="Liberation Serif" w:hAnsi="Liberation Serif"/>
                <w:sz w:val="20"/>
              </w:rPr>
              <w:t xml:space="preserve">Разработка проектов нормативных правовых актов </w:t>
            </w:r>
            <w:r w:rsidR="000F2C08" w:rsidRPr="00C7212F">
              <w:rPr>
                <w:rFonts w:ascii="Liberation Serif" w:hAnsi="Liberation Serif"/>
                <w:sz w:val="20"/>
              </w:rPr>
              <w:t xml:space="preserve">         </w:t>
            </w:r>
          </w:p>
          <w:p w:rsidR="0067047E" w:rsidRPr="00C7212F" w:rsidRDefault="0067047E" w:rsidP="0058622C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sz w:val="20"/>
              </w:rPr>
              <w:t>с нарушением требований антимонопольного законодательства</w:t>
            </w:r>
            <w:r w:rsidR="0090595F" w:rsidRPr="00C7212F">
              <w:rPr>
                <w:rFonts w:ascii="Liberation Serif" w:hAnsi="Liberation Serif"/>
                <w:sz w:val="20"/>
              </w:rPr>
              <w:t>.</w:t>
            </w:r>
            <w:r w:rsidR="005D4F22" w:rsidRPr="00C7212F">
              <w:rPr>
                <w:rFonts w:ascii="Liberation Serif" w:hAnsi="Liberation Serif"/>
                <w:sz w:val="20"/>
              </w:rPr>
              <w:t xml:space="preserve"> </w:t>
            </w:r>
            <w:r w:rsidR="0090595F" w:rsidRPr="00C7212F">
              <w:rPr>
                <w:rFonts w:ascii="Liberation Serif" w:hAnsi="Liberation Serif"/>
                <w:sz w:val="20"/>
              </w:rPr>
              <w:t>У</w:t>
            </w:r>
            <w:r w:rsidR="005D4F22" w:rsidRPr="00C7212F">
              <w:rPr>
                <w:rFonts w:ascii="Liberation Serif" w:hAnsi="Liberation Serif"/>
                <w:sz w:val="20"/>
              </w:rPr>
              <w:t>твержденные нормативные правовые акты содержат нормы, противоречащие законодательству</w:t>
            </w:r>
          </w:p>
        </w:tc>
        <w:tc>
          <w:tcPr>
            <w:tcW w:w="3659" w:type="dxa"/>
          </w:tcPr>
          <w:p w:rsidR="0060258E" w:rsidRPr="00C7212F" w:rsidRDefault="0060258E" w:rsidP="0058622C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0"/>
              </w:rPr>
            </w:pPr>
            <w:r w:rsidRPr="00C7212F">
              <w:rPr>
                <w:rFonts w:ascii="Liberation Serif" w:hAnsi="Liberation Serif"/>
                <w:sz w:val="20"/>
              </w:rPr>
              <w:t>Ошибочное указание</w:t>
            </w:r>
          </w:p>
          <w:p w:rsidR="00CA23BB" w:rsidRPr="00C7212F" w:rsidRDefault="0060258E" w:rsidP="0058622C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0"/>
              </w:rPr>
            </w:pPr>
            <w:r w:rsidRPr="00C7212F">
              <w:rPr>
                <w:rFonts w:ascii="Liberation Serif" w:hAnsi="Liberation Serif"/>
                <w:sz w:val="20"/>
              </w:rPr>
              <w:t>организационно-правовой формы, наименования учреждения / организации; о</w:t>
            </w:r>
            <w:r w:rsidR="0067047E" w:rsidRPr="00C7212F">
              <w:rPr>
                <w:rFonts w:ascii="Liberation Serif" w:hAnsi="Liberation Serif"/>
                <w:sz w:val="20"/>
              </w:rPr>
              <w:t>шибочное применение и (или) толкование норм материального права, которые могут привести</w:t>
            </w:r>
          </w:p>
          <w:p w:rsidR="0067047E" w:rsidRPr="00C7212F" w:rsidRDefault="0067047E" w:rsidP="0058622C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0"/>
              </w:rPr>
            </w:pPr>
            <w:r w:rsidRPr="00C7212F">
              <w:rPr>
                <w:rFonts w:ascii="Liberation Serif" w:hAnsi="Liberation Serif"/>
                <w:sz w:val="20"/>
              </w:rPr>
              <w:t>к нарушению антимонопольного законодательства</w:t>
            </w:r>
          </w:p>
          <w:p w:rsidR="0058622C" w:rsidRPr="00C7212F" w:rsidRDefault="0067047E" w:rsidP="0066165B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sz w:val="20"/>
              </w:rPr>
            </w:pPr>
            <w:r w:rsidRPr="00C7212F">
              <w:rPr>
                <w:rFonts w:ascii="Liberation Serif" w:hAnsi="Liberation Serif"/>
                <w:sz w:val="20"/>
              </w:rPr>
              <w:t>(</w:t>
            </w:r>
            <w:r w:rsidR="00CA23BB" w:rsidRPr="00C7212F">
              <w:rPr>
                <w:rFonts w:ascii="Liberation Serif" w:hAnsi="Liberation Serif"/>
                <w:sz w:val="20"/>
              </w:rPr>
              <w:t>загруженность сотрудник</w:t>
            </w:r>
            <w:r w:rsidR="00FC3B50" w:rsidRPr="00C7212F">
              <w:rPr>
                <w:rFonts w:ascii="Liberation Serif" w:hAnsi="Liberation Serif"/>
                <w:sz w:val="20"/>
              </w:rPr>
              <w:t>ов,</w:t>
            </w:r>
            <w:r w:rsidR="00CA23BB" w:rsidRPr="00C7212F">
              <w:rPr>
                <w:rFonts w:ascii="Liberation Serif" w:hAnsi="Liberation Serif"/>
                <w:sz w:val="20"/>
              </w:rPr>
              <w:t xml:space="preserve"> </w:t>
            </w:r>
            <w:r w:rsidRPr="00C7212F">
              <w:rPr>
                <w:rFonts w:ascii="Liberation Serif" w:hAnsi="Liberation Serif"/>
                <w:sz w:val="20"/>
              </w:rPr>
              <w:t>недостаточный уровень квалификации сотрудников,</w:t>
            </w:r>
            <w:r w:rsidR="0066165B">
              <w:rPr>
                <w:rFonts w:ascii="Liberation Serif" w:hAnsi="Liberation Serif"/>
                <w:sz w:val="20"/>
              </w:rPr>
              <w:t xml:space="preserve"> </w:t>
            </w:r>
            <w:r w:rsidRPr="00C7212F">
              <w:rPr>
                <w:rFonts w:ascii="Liberation Serif" w:hAnsi="Liberation Serif"/>
                <w:sz w:val="20"/>
              </w:rPr>
              <w:t xml:space="preserve">в чьи должностные обязанности входят полномочия </w:t>
            </w:r>
          </w:p>
          <w:p w:rsidR="0067047E" w:rsidRPr="00C7212F" w:rsidRDefault="0067047E" w:rsidP="0058622C">
            <w:pPr>
              <w:tabs>
                <w:tab w:val="left" w:pos="423"/>
              </w:tabs>
              <w:ind w:right="36"/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sz w:val="20"/>
              </w:rPr>
              <w:t>по подготовке проектов нормативных правовых актов)</w:t>
            </w:r>
          </w:p>
        </w:tc>
        <w:tc>
          <w:tcPr>
            <w:tcW w:w="2358" w:type="dxa"/>
          </w:tcPr>
          <w:p w:rsidR="0067047E" w:rsidRPr="00C7212F" w:rsidRDefault="00351B16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Управление делами</w:t>
            </w:r>
          </w:p>
          <w:p w:rsidR="00F47F84" w:rsidRPr="00C7212F" w:rsidRDefault="00F47F84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Отдел экономики, торговли и бытового обслуживания </w:t>
            </w:r>
          </w:p>
          <w:p w:rsidR="00297D7E" w:rsidRPr="00C7212F" w:rsidRDefault="00297D7E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Отдел капитального строительства</w:t>
            </w:r>
          </w:p>
          <w:p w:rsidR="002C3B09" w:rsidRPr="00C7212F" w:rsidRDefault="002C3B09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Отдел городского и коммунального хозяйства</w:t>
            </w:r>
          </w:p>
          <w:p w:rsidR="002C3B09" w:rsidRPr="00C7212F" w:rsidRDefault="002C3B09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 xml:space="preserve">Комитет </w:t>
            </w:r>
          </w:p>
          <w:p w:rsidR="002C3B09" w:rsidRPr="00C7212F" w:rsidRDefault="002C3B09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по управлению муниципальным имуществом</w:t>
            </w:r>
          </w:p>
          <w:p w:rsidR="00092437" w:rsidRPr="00C7212F" w:rsidRDefault="00092437" w:rsidP="0067047E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Отдел гражданской защиты и мобилизационной работы</w:t>
            </w:r>
          </w:p>
          <w:p w:rsidR="0090595F" w:rsidRPr="00C7212F" w:rsidRDefault="00CA23BB" w:rsidP="002C3B09">
            <w:pPr>
              <w:jc w:val="center"/>
              <w:rPr>
                <w:rFonts w:ascii="Liberation Serif" w:hAnsi="Liberation Serif"/>
                <w:color w:val="000000"/>
                <w:sz w:val="20"/>
                <w:szCs w:val="24"/>
              </w:rPr>
            </w:pPr>
            <w:r w:rsidRPr="00C7212F">
              <w:rPr>
                <w:rFonts w:ascii="Liberation Serif" w:hAnsi="Liberation Serif"/>
                <w:color w:val="000000"/>
                <w:sz w:val="20"/>
                <w:szCs w:val="24"/>
              </w:rPr>
              <w:t>Отдел физической культуры, спорта и молодежной политики</w:t>
            </w:r>
          </w:p>
        </w:tc>
        <w:tc>
          <w:tcPr>
            <w:tcW w:w="2138" w:type="dxa"/>
          </w:tcPr>
          <w:p w:rsidR="0067047E" w:rsidRPr="00C7212F" w:rsidRDefault="006D33AF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7212F">
              <w:rPr>
                <w:rFonts w:ascii="Liberation Serif" w:hAnsi="Liberation Serif" w:cs="Calibri"/>
                <w:sz w:val="20"/>
                <w:szCs w:val="20"/>
              </w:rPr>
              <w:t>Возможен</w:t>
            </w:r>
          </w:p>
        </w:tc>
        <w:tc>
          <w:tcPr>
            <w:tcW w:w="2082" w:type="dxa"/>
          </w:tcPr>
          <w:p w:rsidR="0067047E" w:rsidRPr="00C7212F" w:rsidRDefault="006C685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0"/>
                <w:szCs w:val="20"/>
              </w:rPr>
            </w:pPr>
            <w:r w:rsidRPr="00C7212F">
              <w:rPr>
                <w:rFonts w:ascii="Liberation Serif" w:hAnsi="Liberation Serif" w:cs="Calibri"/>
                <w:sz w:val="20"/>
                <w:szCs w:val="20"/>
              </w:rPr>
              <w:t>Высо</w:t>
            </w:r>
            <w:r w:rsidR="0067047E" w:rsidRPr="00C7212F">
              <w:rPr>
                <w:rFonts w:ascii="Liberation Serif" w:hAnsi="Liberation Serif" w:cs="Calibri"/>
                <w:sz w:val="20"/>
                <w:szCs w:val="20"/>
              </w:rPr>
              <w:t>кая</w:t>
            </w:r>
          </w:p>
        </w:tc>
      </w:tr>
    </w:tbl>
    <w:p w:rsidR="0067047E" w:rsidRPr="0067047E" w:rsidRDefault="0067047E" w:rsidP="0067047E">
      <w:pPr>
        <w:tabs>
          <w:tab w:val="left" w:pos="5580"/>
        </w:tabs>
        <w:ind w:left="10206"/>
        <w:jc w:val="both"/>
        <w:rPr>
          <w:rFonts w:ascii="Liberation Serif" w:hAnsi="Liberation Serif"/>
        </w:rPr>
      </w:pPr>
    </w:p>
    <w:p w:rsidR="00C7212F" w:rsidRPr="0067047E" w:rsidRDefault="00C7212F" w:rsidP="00C7212F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bookmarkStart w:id="0" w:name="_GoBack"/>
      <w:bookmarkEnd w:id="0"/>
      <w:r>
        <w:rPr>
          <w:rFonts w:ascii="Liberation Serif" w:hAnsi="Liberation Serif"/>
          <w:color w:val="000000"/>
        </w:rPr>
        <w:lastRenderedPageBreak/>
        <w:t>Приложение № 2</w:t>
      </w:r>
    </w:p>
    <w:p w:rsidR="00C7212F" w:rsidRPr="0067047E" w:rsidRDefault="00C7212F" w:rsidP="00C7212F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УТВЕРЖДЕН</w:t>
      </w:r>
    </w:p>
    <w:p w:rsidR="00C7212F" w:rsidRPr="0067047E" w:rsidRDefault="00C7212F" w:rsidP="00C7212F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C7212F" w:rsidRPr="0067047E" w:rsidRDefault="00C7212F" w:rsidP="00C7212F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593C71" w:rsidRPr="0067047E" w:rsidRDefault="00593C71" w:rsidP="00593C71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r w:rsidRPr="00593C71">
        <w:rPr>
          <w:rFonts w:ascii="Liberation Serif" w:hAnsi="Liberation Serif"/>
          <w:color w:val="000000"/>
        </w:rPr>
        <w:t>21</w:t>
      </w:r>
      <w:r>
        <w:rPr>
          <w:rFonts w:ascii="Liberation Serif" w:hAnsi="Liberation Serif"/>
          <w:color w:val="000000"/>
        </w:rPr>
        <w:t>.</w:t>
      </w:r>
      <w:r w:rsidRPr="00593C71">
        <w:rPr>
          <w:rFonts w:ascii="Liberation Serif" w:hAnsi="Liberation Serif"/>
          <w:color w:val="000000"/>
        </w:rPr>
        <w:t>12</w:t>
      </w:r>
      <w:r>
        <w:rPr>
          <w:rFonts w:ascii="Liberation Serif" w:hAnsi="Liberation Serif"/>
          <w:color w:val="000000"/>
        </w:rPr>
        <w:t xml:space="preserve">.2022 </w:t>
      </w:r>
      <w:r w:rsidRPr="0067047E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 xml:space="preserve">132 </w:t>
      </w:r>
      <w:r w:rsidRPr="0067047E">
        <w:rPr>
          <w:rFonts w:ascii="Liberation Serif" w:hAnsi="Liberation Serif"/>
          <w:color w:val="000000"/>
        </w:rPr>
        <w:t xml:space="preserve">- </w:t>
      </w:r>
      <w:proofErr w:type="spellStart"/>
      <w:r w:rsidRPr="0067047E">
        <w:rPr>
          <w:rFonts w:ascii="Liberation Serif" w:hAnsi="Liberation Serif"/>
          <w:color w:val="000000"/>
        </w:rPr>
        <w:t>гп</w:t>
      </w:r>
      <w:proofErr w:type="spellEnd"/>
    </w:p>
    <w:p w:rsidR="002C3B09" w:rsidRDefault="002C3B09" w:rsidP="0067047E">
      <w:pPr>
        <w:jc w:val="center"/>
        <w:rPr>
          <w:rFonts w:ascii="Liberation Serif" w:hAnsi="Liberation Serif"/>
          <w:bCs/>
          <w:color w:val="000000"/>
        </w:rPr>
      </w:pP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План мероприятий («дорожная карта») </w:t>
      </w:r>
      <w:r w:rsidRPr="0067047E">
        <w:rPr>
          <w:rFonts w:ascii="Liberation Serif" w:hAnsi="Liberation Serif"/>
          <w:color w:val="000000"/>
        </w:rPr>
        <w:t xml:space="preserve">по снижению рисков нарушения антимонопольного законодательства </w:t>
      </w:r>
    </w:p>
    <w:p w:rsidR="0067047E" w:rsidRPr="0067047E" w:rsidRDefault="0067047E" w:rsidP="0067047E">
      <w:pPr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Pr="0067047E">
        <w:rPr>
          <w:rFonts w:ascii="Liberation Serif" w:hAnsi="Liberation Serif"/>
          <w:bCs/>
          <w:color w:val="000000"/>
        </w:rPr>
        <w:t>на 202</w:t>
      </w:r>
      <w:r w:rsidR="00F57BAF">
        <w:rPr>
          <w:rFonts w:ascii="Liberation Serif" w:hAnsi="Liberation Serif"/>
          <w:bCs/>
          <w:color w:val="000000"/>
        </w:rPr>
        <w:t>3</w:t>
      </w:r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67047E" w:rsidRPr="0067047E" w:rsidRDefault="0067047E" w:rsidP="0067047E">
      <w:pPr>
        <w:ind w:firstLine="709"/>
        <w:jc w:val="center"/>
        <w:rPr>
          <w:rFonts w:ascii="Liberation Serif" w:hAnsi="Liberation Serif"/>
          <w:color w:val="00000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280"/>
        <w:gridCol w:w="2601"/>
        <w:gridCol w:w="2829"/>
        <w:gridCol w:w="2305"/>
        <w:gridCol w:w="1933"/>
        <w:gridCol w:w="2150"/>
      </w:tblGrid>
      <w:tr w:rsidR="002075C2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</w:t>
            </w:r>
          </w:p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Показатель результата</w:t>
            </w:r>
          </w:p>
        </w:tc>
      </w:tr>
      <w:tr w:rsidR="002075C2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2075C2" w:rsidRPr="0067047E" w:rsidTr="00CE3340">
        <w:trPr>
          <w:trHeight w:val="2573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C069C1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Разработка проектов нормативных правовых актов </w:t>
            </w:r>
          </w:p>
          <w:p w:rsidR="0090595F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с нарушением требований антимонопольного законодательства</w:t>
            </w:r>
            <w:r w:rsidR="0090595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7047E" w:rsidRPr="0067047E" w:rsidRDefault="0090595F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595F">
              <w:rPr>
                <w:rFonts w:ascii="Liberation Serif" w:hAnsi="Liberation Serif"/>
                <w:color w:val="000000"/>
                <w:sz w:val="24"/>
                <w:szCs w:val="24"/>
              </w:rPr>
              <w:t>Утвержденные нормативные правовые акты содержат нормы, противоречащие законодательству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анализа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мониторинга и анализа практики применения антимонопольного законодательства.</w:t>
            </w:r>
          </w:p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2. Проведение процедуры согласования проектов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Сотрудник администрации Невьянского городского округа, ответственный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подготовку </w:t>
            </w:r>
            <w:r w:rsidRPr="0067047E">
              <w:rPr>
                <w:rFonts w:ascii="Liberation Serif" w:hAnsi="Liberation Serif"/>
                <w:sz w:val="24"/>
                <w:szCs w:val="24"/>
              </w:rPr>
              <w:t>проекта нормативного правового акта</w:t>
            </w: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2075C2" w:rsidRPr="0067047E" w:rsidTr="00CE3340">
        <w:trPr>
          <w:trHeight w:val="987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Осуществление сбора и проведение анализа представленных замечаний и предложений организаций и граждан по перечню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lastRenderedPageBreak/>
              <w:t>Организация сбора замечаний и предложений организаций и граждан по перечню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внутреннему финансовому аудиту и антимонопольному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администрации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075C2" w:rsidRPr="0067047E" w:rsidTr="00CE3340">
        <w:trPr>
          <w:trHeight w:val="2263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3. Правовая поддержка сотрудников, в чьи должностные обязанности входят полномочия по подготовке проектов нормативных правовых актов</w:t>
            </w:r>
          </w:p>
        </w:tc>
        <w:tc>
          <w:tcPr>
            <w:tcW w:w="2829" w:type="dxa"/>
          </w:tcPr>
          <w:p w:rsidR="00C069C1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Консультирование сотрудников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 подготовке проектов нормативных правовых актов</w:t>
            </w:r>
          </w:p>
        </w:tc>
        <w:tc>
          <w:tcPr>
            <w:tcW w:w="2305" w:type="dxa"/>
          </w:tcPr>
          <w:p w:rsidR="002C3B09" w:rsidRPr="002C3B09" w:rsidRDefault="002C3B09" w:rsidP="002C3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3B0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67047E" w:rsidRPr="0067047E" w:rsidRDefault="002C3B09" w:rsidP="002C3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C3B0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внутреннему финансовому аудиту и антимонопольному </w:t>
            </w:r>
            <w:proofErr w:type="spellStart"/>
            <w:r w:rsidRPr="002C3B09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2C3B0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35157" w:rsidRPr="00F4463D" w:rsidRDefault="00335157" w:rsidP="00732888">
      <w:pPr>
        <w:rPr>
          <w:rFonts w:ascii="Liberation Serif" w:hAnsi="Liberation Serif"/>
        </w:rPr>
      </w:pPr>
    </w:p>
    <w:sectPr w:rsidR="00335157" w:rsidRPr="00F4463D" w:rsidSect="0058622C">
      <w:headerReference w:type="default" r:id="rId8"/>
      <w:pgSz w:w="16838" w:h="11906" w:orient="landscape"/>
      <w:pgMar w:top="1701" w:right="425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11" w:rsidRDefault="00116311" w:rsidP="00116311">
      <w:r>
        <w:separator/>
      </w:r>
    </w:p>
  </w:endnote>
  <w:endnote w:type="continuationSeparator" w:id="0">
    <w:p w:rsidR="00116311" w:rsidRDefault="00116311" w:rsidP="001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11" w:rsidRDefault="00116311" w:rsidP="00116311">
      <w:r>
        <w:separator/>
      </w:r>
    </w:p>
  </w:footnote>
  <w:footnote w:type="continuationSeparator" w:id="0">
    <w:p w:rsidR="00116311" w:rsidRDefault="00116311" w:rsidP="0011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419958"/>
      <w:docPartObj>
        <w:docPartGallery w:val="Page Numbers (Top of Page)"/>
        <w:docPartUnique/>
      </w:docPartObj>
    </w:sdtPr>
    <w:sdtEndPr/>
    <w:sdtContent>
      <w:p w:rsidR="00116311" w:rsidRDefault="001163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C71">
          <w:rPr>
            <w:noProof/>
          </w:rPr>
          <w:t>3</w:t>
        </w:r>
        <w:r>
          <w:fldChar w:fldCharType="end"/>
        </w:r>
      </w:p>
    </w:sdtContent>
  </w:sdt>
  <w:p w:rsidR="00116311" w:rsidRDefault="001163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95"/>
    <w:multiLevelType w:val="hybridMultilevel"/>
    <w:tmpl w:val="C396E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500711C"/>
    <w:multiLevelType w:val="hybridMultilevel"/>
    <w:tmpl w:val="818C7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AC2"/>
    <w:rsid w:val="00092437"/>
    <w:rsid w:val="000B6421"/>
    <w:rsid w:val="000B7122"/>
    <w:rsid w:val="000D01CD"/>
    <w:rsid w:val="000F2C08"/>
    <w:rsid w:val="000F773A"/>
    <w:rsid w:val="00116311"/>
    <w:rsid w:val="0013687C"/>
    <w:rsid w:val="001473E4"/>
    <w:rsid w:val="00170DA8"/>
    <w:rsid w:val="00190162"/>
    <w:rsid w:val="001A624D"/>
    <w:rsid w:val="001C3792"/>
    <w:rsid w:val="001D67B8"/>
    <w:rsid w:val="00201212"/>
    <w:rsid w:val="00203140"/>
    <w:rsid w:val="00203FE8"/>
    <w:rsid w:val="002075C2"/>
    <w:rsid w:val="00246218"/>
    <w:rsid w:val="0028662D"/>
    <w:rsid w:val="00290092"/>
    <w:rsid w:val="00297D7E"/>
    <w:rsid w:val="002B4828"/>
    <w:rsid w:val="002C3B09"/>
    <w:rsid w:val="00302DD3"/>
    <w:rsid w:val="0030459A"/>
    <w:rsid w:val="00324448"/>
    <w:rsid w:val="003262A6"/>
    <w:rsid w:val="0033333D"/>
    <w:rsid w:val="00335157"/>
    <w:rsid w:val="0034061C"/>
    <w:rsid w:val="0034747B"/>
    <w:rsid w:val="00351B16"/>
    <w:rsid w:val="0035510D"/>
    <w:rsid w:val="00361D9B"/>
    <w:rsid w:val="00374EE8"/>
    <w:rsid w:val="003832BB"/>
    <w:rsid w:val="00386038"/>
    <w:rsid w:val="00391293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B33B5"/>
    <w:rsid w:val="004E482D"/>
    <w:rsid w:val="005729F2"/>
    <w:rsid w:val="0058622C"/>
    <w:rsid w:val="00593C71"/>
    <w:rsid w:val="005B761F"/>
    <w:rsid w:val="005B7D37"/>
    <w:rsid w:val="005C5C46"/>
    <w:rsid w:val="005D4F22"/>
    <w:rsid w:val="005F3B35"/>
    <w:rsid w:val="005F5545"/>
    <w:rsid w:val="0060258E"/>
    <w:rsid w:val="00624676"/>
    <w:rsid w:val="0066165B"/>
    <w:rsid w:val="0067047E"/>
    <w:rsid w:val="00683FCA"/>
    <w:rsid w:val="006B1B8A"/>
    <w:rsid w:val="006C685E"/>
    <w:rsid w:val="006D33AF"/>
    <w:rsid w:val="00732888"/>
    <w:rsid w:val="0076659F"/>
    <w:rsid w:val="00775580"/>
    <w:rsid w:val="007B08E2"/>
    <w:rsid w:val="007E5A24"/>
    <w:rsid w:val="0080794B"/>
    <w:rsid w:val="00822206"/>
    <w:rsid w:val="008246C8"/>
    <w:rsid w:val="00840F21"/>
    <w:rsid w:val="00847078"/>
    <w:rsid w:val="008745EC"/>
    <w:rsid w:val="008921B3"/>
    <w:rsid w:val="00897019"/>
    <w:rsid w:val="008A76C1"/>
    <w:rsid w:val="008D1270"/>
    <w:rsid w:val="008D56ED"/>
    <w:rsid w:val="0090595F"/>
    <w:rsid w:val="00927DDA"/>
    <w:rsid w:val="0095396A"/>
    <w:rsid w:val="00956272"/>
    <w:rsid w:val="009A7454"/>
    <w:rsid w:val="009C346B"/>
    <w:rsid w:val="009D4875"/>
    <w:rsid w:val="009E49E0"/>
    <w:rsid w:val="00A10719"/>
    <w:rsid w:val="00A25569"/>
    <w:rsid w:val="00A448D0"/>
    <w:rsid w:val="00A555DF"/>
    <w:rsid w:val="00A732BE"/>
    <w:rsid w:val="00AB253C"/>
    <w:rsid w:val="00AC5B86"/>
    <w:rsid w:val="00AD3A18"/>
    <w:rsid w:val="00AD5DA8"/>
    <w:rsid w:val="00AE4627"/>
    <w:rsid w:val="00AE7D5C"/>
    <w:rsid w:val="00AF3B8B"/>
    <w:rsid w:val="00B010D1"/>
    <w:rsid w:val="00B35F9E"/>
    <w:rsid w:val="00B617C6"/>
    <w:rsid w:val="00B6751A"/>
    <w:rsid w:val="00B8334B"/>
    <w:rsid w:val="00B87635"/>
    <w:rsid w:val="00B96B3B"/>
    <w:rsid w:val="00B97590"/>
    <w:rsid w:val="00BA0E8D"/>
    <w:rsid w:val="00BC6DE0"/>
    <w:rsid w:val="00C069C1"/>
    <w:rsid w:val="00C249AB"/>
    <w:rsid w:val="00C36513"/>
    <w:rsid w:val="00C7212F"/>
    <w:rsid w:val="00C823EA"/>
    <w:rsid w:val="00C937B9"/>
    <w:rsid w:val="00CA23BB"/>
    <w:rsid w:val="00CE41FA"/>
    <w:rsid w:val="00D04414"/>
    <w:rsid w:val="00D245C7"/>
    <w:rsid w:val="00D31007"/>
    <w:rsid w:val="00D611D8"/>
    <w:rsid w:val="00D644F4"/>
    <w:rsid w:val="00D729FC"/>
    <w:rsid w:val="00D749E2"/>
    <w:rsid w:val="00D75B45"/>
    <w:rsid w:val="00D86600"/>
    <w:rsid w:val="00D9380A"/>
    <w:rsid w:val="00D97432"/>
    <w:rsid w:val="00DB1B9F"/>
    <w:rsid w:val="00DD753E"/>
    <w:rsid w:val="00E05656"/>
    <w:rsid w:val="00E14AF6"/>
    <w:rsid w:val="00E15589"/>
    <w:rsid w:val="00E33005"/>
    <w:rsid w:val="00E51103"/>
    <w:rsid w:val="00E957DC"/>
    <w:rsid w:val="00EB0EEA"/>
    <w:rsid w:val="00EC26E3"/>
    <w:rsid w:val="00EC600D"/>
    <w:rsid w:val="00EC75D1"/>
    <w:rsid w:val="00ED04E7"/>
    <w:rsid w:val="00F007F9"/>
    <w:rsid w:val="00F04215"/>
    <w:rsid w:val="00F4463D"/>
    <w:rsid w:val="00F47F84"/>
    <w:rsid w:val="00F57BAF"/>
    <w:rsid w:val="00F70D54"/>
    <w:rsid w:val="00F81CE2"/>
    <w:rsid w:val="00F963B2"/>
    <w:rsid w:val="00FB4758"/>
    <w:rsid w:val="00FC3B50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AAD10"/>
  <w15:docId w15:val="{DA92716B-0B5F-498D-A940-D67D783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7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8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670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47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1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1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973C-D6F6-4A85-99B8-24AD9DA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367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17</cp:revision>
  <cp:lastPrinted>2021-12-09T10:40:00Z</cp:lastPrinted>
  <dcterms:created xsi:type="dcterms:W3CDTF">2021-09-27T11:01:00Z</dcterms:created>
  <dcterms:modified xsi:type="dcterms:W3CDTF">2022-12-21T12:00:00Z</dcterms:modified>
</cp:coreProperties>
</file>